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Внешняя проверка годовой бюджетной отчетности </w:t>
      </w:r>
    </w:p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 администраторов бюджетных средств за 201</w:t>
      </w:r>
      <w:r w:rsidR="00521421"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D5B8A" w:rsidRPr="006E6B7A" w:rsidRDefault="008D5B8A" w:rsidP="008D5B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B8A" w:rsidRPr="006E6B7A" w:rsidRDefault="008D5B8A" w:rsidP="008D5B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B8A" w:rsidRPr="006E6B7A" w:rsidRDefault="00A94E36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по результатам внешней проверки годовой бюджетной отчетности подготовлено в соответствии со статьей 264.4 Бюджетного кодекса Российской Федерации, Положением о бюджетном устройстве и бюджетном процессе в городе Нефтеюганске, утвержденным решением Думы города от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25.09.2013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633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– Положение о бюджетном процессе)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Положением о Счетной палате города Нефтеюганска, утвержденным решением Думы города от 27.09.2011 № 115-V, Порядком проведения внешней проверки годового</w:t>
      </w:r>
      <w:proofErr w:type="gramEnd"/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 исполнении бюджета города Нефтеюганска, утвержденным решением Думы города от 28.03.2013 № 531-V</w:t>
      </w:r>
      <w:r w:rsid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– Порядок)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Методическими рекомендациями по проверке годовой бюджетной отчетности главных администраторов бюджетных сре</w:t>
      </w:r>
      <w:proofErr w:type="gramStart"/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организации внешней проверки годового отчета об исполнении местного бюджета от 04.03.2013.  </w:t>
      </w:r>
    </w:p>
    <w:p w:rsidR="008D5B8A" w:rsidRPr="006E6B7A" w:rsidRDefault="00A94E36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A82FC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ставили годовую бюджетную отчетность за 201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следующие главные администраторы бюджетных средств</w:t>
      </w:r>
      <w:r w:rsidR="0011130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ГАБС)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Нефтеюганска</w:t>
      </w:r>
      <w:r w:rsidR="0096606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606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города)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Нефтеюганска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города). 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финансов администрации города Нефтеюганска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финансов). 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имущественных и земельных отношений администрации города Нефтеюганска (далее по тексту - департамент имущественных и земельных отношений).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образования и молодежной политики администрации города Нефтеюганска (далее по тексту - департамент образования и молодежной политики). 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культуры администрации города Нефтеюганска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культуры).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здравоохранению администрации города Нефтеюганска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по здравоохранению).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физической культуры и спорта администрации города Нефтеюганска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физической культуры и спорта).</w:t>
      </w:r>
    </w:p>
    <w:p w:rsidR="00751698" w:rsidRPr="006E6B7A" w:rsidRDefault="00751698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опеки и попечительства</w:t>
      </w:r>
      <w:r w:rsidRPr="006E6B7A">
        <w:rPr>
          <w:sz w:val="28"/>
          <w:szCs w:val="28"/>
        </w:rPr>
        <w:t xml:space="preserve">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Нефтеюганска (далее по тексту - комитет опеки и попечительства).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градостроительства администрации города Нефтеюганска 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градостроительства).</w:t>
      </w:r>
    </w:p>
    <w:p w:rsidR="008D5B8A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 администрации города Нефтеюганска (далее по тексту - департамент жилищно-коммунального хозяйства).</w:t>
      </w:r>
    </w:p>
    <w:p w:rsidR="00966066" w:rsidRPr="006E6B7A" w:rsidRDefault="008D5B8A" w:rsidP="00C750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proofErr w:type="gramStart"/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актов гражданского состояния администрации города</w:t>
      </w:r>
      <w:proofErr w:type="gramEnd"/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</w:t>
      </w:r>
      <w:r w:rsidR="0075169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ЗАГС)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239" w:rsidRPr="006E6B7A" w:rsidRDefault="00F61239" w:rsidP="00C75041">
      <w:pPr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B8A" w:rsidRPr="006E6B7A" w:rsidRDefault="008D5B8A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В ходе внешней проверки годовой бюджетной отчетности главных администраторов бюджетных средств рассмотрены следующие вопросы:</w:t>
      </w:r>
    </w:p>
    <w:p w:rsidR="008D5B8A" w:rsidRPr="006E6B7A" w:rsidRDefault="000A506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представленной к проверке отчетности по составу, содержанию, прозрачности и информативности показателей в части установления ее полноты и соответствия требованиям нормативных правовых актов;  </w:t>
      </w:r>
    </w:p>
    <w:p w:rsidR="008D5B8A" w:rsidRPr="006E6B7A" w:rsidRDefault="000A506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внутренней согласованности соответствующих форм отчетности (соблюдение контрольных соотношений);</w:t>
      </w:r>
    </w:p>
    <w:p w:rsidR="008D5B8A" w:rsidRPr="006E6B7A" w:rsidRDefault="000A506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5B8A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соответствие плановых показателей, указанных в годовой бюджетной отчетности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администраторов бюджетных средств</w:t>
      </w:r>
      <w:r w:rsidR="008D5B8A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201</w:t>
      </w:r>
      <w:r w:rsidR="00521421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8D5B8A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 показателям, утвержденным решением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от 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9.12.201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Нефтеюганск на 201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 учетом изменений, внесенных в ходе исполнения бюджета;</w:t>
      </w:r>
    </w:p>
    <w:p w:rsidR="00A94E36" w:rsidRPr="006E6B7A" w:rsidRDefault="000A506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5B8A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анализ состояния расчетов  дебиторской и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B8A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кредиторской задолженности в разрезе видов расчетов, причин возникновения и их влияние на исполнение бюджета;</w:t>
      </w:r>
    </w:p>
    <w:p w:rsidR="008D5B8A" w:rsidRPr="006E6B7A" w:rsidRDefault="000A506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A94E36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финансирования и исполнения целевых программ в отчетном финансовом году.</w:t>
      </w:r>
    </w:p>
    <w:p w:rsidR="008D5B8A" w:rsidRPr="006E6B7A" w:rsidRDefault="00A94E36" w:rsidP="00C7504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внешней проверки годовой бюджетной отчетности за 201</w:t>
      </w:r>
      <w:r w:rsidR="0052142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подготовлено 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 по результатам внешней проверки бюджетной отчетности по главным администраторам бюджетных средств, направлено </w:t>
      </w:r>
      <w:r w:rsidR="0022285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F6123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запросов о представлении информации</w:t>
      </w:r>
      <w:r w:rsidR="00393B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для подготовки заключения, а также пояснений по всем установленным фактам несоответствия требованиям Инструкции </w:t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</w:t>
      </w:r>
      <w:proofErr w:type="gramEnd"/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 w:rsidR="00A82FC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приказом  Минфина</w:t>
      </w:r>
      <w:r w:rsidR="0099321D" w:rsidRPr="006E6B7A">
        <w:rPr>
          <w:rFonts w:ascii="Times New Roman" w:hAnsi="Times New Roman" w:cs="Times New Roman"/>
          <w:sz w:val="28"/>
          <w:szCs w:val="28"/>
        </w:rPr>
        <w:t xml:space="preserve"> </w:t>
      </w:r>
      <w:r w:rsidR="002C6108" w:rsidRPr="006E6B7A">
        <w:rPr>
          <w:rFonts w:ascii="Times New Roman" w:hAnsi="Times New Roman" w:cs="Times New Roman"/>
          <w:sz w:val="28"/>
          <w:szCs w:val="28"/>
        </w:rPr>
        <w:t xml:space="preserve">от </w:t>
      </w:r>
      <w:r w:rsidR="00A82FC5" w:rsidRPr="006E6B7A">
        <w:rPr>
          <w:rFonts w:ascii="Times New Roman" w:hAnsi="Times New Roman" w:cs="Times New Roman"/>
          <w:sz w:val="28"/>
          <w:szCs w:val="28"/>
        </w:rPr>
        <w:t xml:space="preserve">28.12.2010 </w:t>
      </w:r>
      <w:r w:rsidR="0099321D" w:rsidRPr="006E6B7A">
        <w:rPr>
          <w:rFonts w:ascii="Times New Roman" w:hAnsi="Times New Roman" w:cs="Times New Roman"/>
          <w:sz w:val="28"/>
          <w:szCs w:val="28"/>
        </w:rPr>
        <w:t xml:space="preserve"> </w:t>
      </w:r>
      <w:r w:rsidR="00310C69" w:rsidRPr="006E6B7A">
        <w:rPr>
          <w:rFonts w:ascii="Times New Roman" w:hAnsi="Times New Roman" w:cs="Times New Roman"/>
          <w:sz w:val="28"/>
          <w:szCs w:val="28"/>
        </w:rPr>
        <w:t>№</w:t>
      </w:r>
      <w:r w:rsidR="0099321D" w:rsidRPr="006E6B7A">
        <w:rPr>
          <w:rFonts w:ascii="Times New Roman" w:hAnsi="Times New Roman" w:cs="Times New Roman"/>
          <w:sz w:val="28"/>
          <w:szCs w:val="28"/>
        </w:rPr>
        <w:t xml:space="preserve"> 191н (далее</w:t>
      </w:r>
      <w:r w:rsidR="001E52F9" w:rsidRPr="006E6B7A">
        <w:rPr>
          <w:rFonts w:ascii="Times New Roman" w:hAnsi="Times New Roman" w:cs="Times New Roman"/>
          <w:sz w:val="28"/>
          <w:szCs w:val="28"/>
        </w:rPr>
        <w:t xml:space="preserve"> -</w:t>
      </w:r>
      <w:r w:rsidR="0099321D" w:rsidRPr="006E6B7A">
        <w:rPr>
          <w:rFonts w:ascii="Times New Roman" w:hAnsi="Times New Roman" w:cs="Times New Roman"/>
          <w:sz w:val="28"/>
          <w:szCs w:val="28"/>
        </w:rPr>
        <w:t xml:space="preserve"> Инструкция № 191н)</w:t>
      </w:r>
      <w:r w:rsidR="00310C69" w:rsidRPr="006E6B7A">
        <w:rPr>
          <w:rFonts w:ascii="Times New Roman" w:hAnsi="Times New Roman" w:cs="Times New Roman"/>
          <w:sz w:val="28"/>
          <w:szCs w:val="28"/>
        </w:rPr>
        <w:t>.</w:t>
      </w:r>
    </w:p>
    <w:p w:rsidR="00DA48D2" w:rsidRPr="006E6B7A" w:rsidRDefault="00A94E36" w:rsidP="00C750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внешней проверки годовой бюджетной отчетности главных администраторов бюджетных средств установлено:</w:t>
      </w:r>
    </w:p>
    <w:p w:rsidR="00BB45DC" w:rsidRPr="006E6B7A" w:rsidRDefault="000A5061" w:rsidP="00C7504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Годовая бюджетная отчетность (далее по тексту</w:t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</w:t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тность) представлена в Счетную палату в соответствии с установленными сроками. </w:t>
      </w:r>
    </w:p>
    <w:p w:rsidR="004375B9" w:rsidRPr="001723D0" w:rsidRDefault="009215A4" w:rsidP="00C7504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нарушении пункта</w:t>
      </w:r>
      <w:r w:rsidR="001723D0"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15 Положения о бюджетном процессе, а также пункта</w:t>
      </w:r>
      <w:r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1.3. </w:t>
      </w:r>
      <w:r w:rsidR="006E6B7A" w:rsidRPr="001723D0">
        <w:rPr>
          <w:rFonts w:ascii="Times New Roman" w:hAnsi="Times New Roman" w:cs="Times New Roman"/>
          <w:sz w:val="28"/>
          <w:szCs w:val="28"/>
        </w:rPr>
        <w:t>Порядка</w:t>
      </w:r>
      <w:r w:rsidR="00C75041">
        <w:rPr>
          <w:rFonts w:ascii="Times New Roman" w:hAnsi="Times New Roman" w:cs="Times New Roman"/>
          <w:sz w:val="28"/>
          <w:szCs w:val="28"/>
        </w:rPr>
        <w:t>,</w:t>
      </w:r>
      <w:r w:rsidR="006E6B7A" w:rsidRPr="001723D0">
        <w:rPr>
          <w:rFonts w:ascii="Times New Roman" w:hAnsi="Times New Roman" w:cs="Times New Roman"/>
          <w:sz w:val="28"/>
          <w:szCs w:val="28"/>
        </w:rPr>
        <w:t xml:space="preserve"> </w:t>
      </w:r>
      <w:r w:rsidR="001723D0" w:rsidRPr="001723D0">
        <w:rPr>
          <w:rFonts w:ascii="Times New Roman" w:hAnsi="Times New Roman" w:cs="Times New Roman"/>
          <w:sz w:val="28"/>
          <w:szCs w:val="28"/>
        </w:rPr>
        <w:t xml:space="preserve">представленная </w:t>
      </w:r>
      <w:r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отчетность департамента градостроительства, не согласована с департаментом финансов администрации города Нефтеюганска.</w:t>
      </w:r>
      <w:r w:rsidR="004375B9"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6245" w:rsidRPr="006E6B7A" w:rsidRDefault="00612875" w:rsidP="00C7504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6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тчетность составлена в нарушение требований Инструкции № 191н, выразившиеся в неполном</w:t>
      </w:r>
      <w:r w:rsidR="00C75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неточном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заполнении необходимых реквизитов </w:t>
      </w:r>
      <w:r w:rsidR="00C75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показателей бюджетной отчетности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B45D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формах:</w:t>
      </w:r>
    </w:p>
    <w:p w:rsidR="008D5B8A" w:rsidRPr="006E6B7A" w:rsidRDefault="000A5061" w:rsidP="00C75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CE313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99321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1303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CE313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форме </w:t>
      </w:r>
      <w:r w:rsidR="005C1472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3D262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ОКУД 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0503164 «Сведения об исполнении бюджета» </w:t>
      </w:r>
      <w:r w:rsidR="00A94E36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графе 7 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</w:t>
      </w:r>
      <w:r w:rsidR="00416D8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полном объеме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отра</w:t>
      </w:r>
      <w:r w:rsidR="00E462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жены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9321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ричины отклонений от планового процента исполнения</w:t>
      </w:r>
      <w:r w:rsidR="00CE313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1303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отчетности</w:t>
      </w:r>
      <w:r w:rsidR="00E462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E313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</w:t>
      </w:r>
      <w:r w:rsidR="00E462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</w:t>
      </w:r>
      <w:r w:rsidR="00111303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ГАБС</w:t>
      </w:r>
      <w:r w:rsidR="00CE313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E313F" w:rsidRPr="006E6B7A" w:rsidRDefault="00CE313F" w:rsidP="00C75041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имущественных и земельных отношений;</w:t>
      </w:r>
    </w:p>
    <w:p w:rsidR="00B23A07" w:rsidRPr="006E6B7A" w:rsidRDefault="00B23A07" w:rsidP="00C75041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по здравоохранению</w:t>
      </w:r>
      <w:r w:rsidR="00393B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E313F" w:rsidRPr="006E6B7A" w:rsidRDefault="00CE313F" w:rsidP="00C75041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культуры;</w:t>
      </w:r>
    </w:p>
    <w:p w:rsidR="00CE313F" w:rsidRPr="006E6B7A" w:rsidRDefault="00CE313F" w:rsidP="00C75041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</w:t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F7" w:rsidRPr="006E6B7A" w:rsidRDefault="00B96AF7" w:rsidP="00C75041">
      <w:pPr>
        <w:pStyle w:val="ad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6544B" w:rsidRDefault="008D5B8A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  <w:r w:rsidR="000A5061"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D86A94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99321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6A94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44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по ОКУД 0503160  «Пояснительная записка»</w:t>
      </w:r>
      <w:r w:rsidR="000654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6A94" w:rsidRDefault="0006544B" w:rsidP="0006544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 департамент</w:t>
      </w:r>
      <w:r w:rsidR="00393B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 </w:t>
      </w:r>
      <w:r w:rsidR="00C7504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 полном объеме </w:t>
      </w:r>
      <w:r w:rsidR="002C610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отражены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 по дебиторской и кредиторской задолженности, а именно причина образования задолженности</w:t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неверно отражена сумма просроченной дебиторской задолженности нереальной к взысканию в сумме 21 186 рублей 93 копейки;</w:t>
      </w:r>
    </w:p>
    <w:p w:rsidR="0006544B" w:rsidRPr="0006544B" w:rsidRDefault="0006544B" w:rsidP="0006544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отчетности </w:t>
      </w:r>
      <w:r w:rsidRPr="0051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</w:t>
      </w:r>
      <w:r w:rsidRPr="00514DEC">
        <w:rPr>
          <w:rFonts w:ascii="Times New Roman" w:hAnsi="Times New Roman" w:cs="Times New Roman"/>
          <w:color w:val="000000"/>
          <w:sz w:val="28"/>
          <w:szCs w:val="28"/>
        </w:rPr>
        <w:t>содержалась неверная информация о снижении просроченной дебиторской задолженности, а именно фактическое сокращение дебиторской задолженности составляет 242 302 </w:t>
      </w:r>
      <w:r>
        <w:rPr>
          <w:rFonts w:ascii="Times New Roman" w:hAnsi="Times New Roman" w:cs="Times New Roman"/>
          <w:color w:val="000000"/>
          <w:sz w:val="28"/>
          <w:szCs w:val="28"/>
        </w:rPr>
        <w:t>619 рублей 77 копеек, отраженна</w:t>
      </w:r>
      <w:r w:rsidRPr="00514DEC">
        <w:rPr>
          <w:rFonts w:ascii="Times New Roman" w:hAnsi="Times New Roman" w:cs="Times New Roman"/>
          <w:color w:val="000000"/>
          <w:sz w:val="28"/>
          <w:szCs w:val="28"/>
        </w:rPr>
        <w:t xml:space="preserve"> в сумме 219 939 946 рублей 62 копейки.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679F7" w:rsidRPr="006E6B7A" w:rsidRDefault="000A5061" w:rsidP="00C75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D86A94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9321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6A94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форме</w:t>
      </w:r>
      <w:r w:rsidR="005C1472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262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ОКУД </w:t>
      </w:r>
      <w:r w:rsidR="008D5B8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0503166 «Сведения об исполнении мероприятий в рамках целевых программ» </w:t>
      </w:r>
      <w:r w:rsidR="006B5308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ряду программ не в полном объеме отра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жены</w:t>
      </w:r>
      <w:r w:rsidR="006B5308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сведения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60B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именно:</w:t>
      </w:r>
    </w:p>
    <w:p w:rsidR="00A679F7" w:rsidRDefault="005C1472" w:rsidP="00C75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8C5AC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В</w:t>
      </w:r>
      <w:r w:rsidR="006B5308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графе 3 </w:t>
      </w:r>
      <w:r w:rsidR="008C5AC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аименование мероприятий</w:t>
      </w:r>
      <w:r w:rsidR="008C5AC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соответств</w:t>
      </w:r>
      <w:r w:rsidR="00067A2E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овали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перечню </w:t>
      </w:r>
      <w:r w:rsidR="00393B9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мероприятий</w:t>
      </w:r>
      <w:r w:rsidR="00393B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93B9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установленных соответствующими </w:t>
      </w:r>
      <w:r w:rsidR="00E60B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A679F7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ормативно-правовыми документами </w:t>
      </w:r>
      <w:r w:rsidR="00393B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E60B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реализацию </w:t>
      </w:r>
      <w:r w:rsidR="008C5AC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долгосрочных целевых </w:t>
      </w:r>
      <w:r w:rsidR="00E60B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</w:t>
      </w:r>
      <w:r w:rsidR="006B5308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0B4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отчетности следующих ГАБС:</w:t>
      </w:r>
    </w:p>
    <w:p w:rsidR="00C75041" w:rsidRPr="00C75041" w:rsidRDefault="00C75041" w:rsidP="00C75041">
      <w:pPr>
        <w:pStyle w:val="ad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7504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финансов;</w:t>
      </w:r>
    </w:p>
    <w:p w:rsidR="006B5308" w:rsidRPr="006E6B7A" w:rsidRDefault="006B5308" w:rsidP="00C75041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образования и молодежной политики;</w:t>
      </w:r>
    </w:p>
    <w:p w:rsidR="00C75041" w:rsidRPr="006E6B7A" w:rsidRDefault="00C75041" w:rsidP="00C75041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культуры;</w:t>
      </w:r>
    </w:p>
    <w:p w:rsidR="00C75041" w:rsidRDefault="00C75041" w:rsidP="00C75041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 физической культуры и спорта;</w:t>
      </w:r>
    </w:p>
    <w:p w:rsidR="00E60B45" w:rsidRPr="006E6B7A" w:rsidRDefault="00E60B45" w:rsidP="00C75041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хозяйства;</w:t>
      </w:r>
    </w:p>
    <w:p w:rsidR="00BD5028" w:rsidRPr="00BD5028" w:rsidRDefault="00C75041" w:rsidP="00BD5028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градостроительства.</w:t>
      </w:r>
    </w:p>
    <w:p w:rsidR="00BD5028" w:rsidRPr="00BD5028" w:rsidRDefault="00BD5028" w:rsidP="00BD5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2.3.2. В графе 4 «Объемы, утвержденные бюджетной росписью» не соответствовали утвержденным плановым значениям долгосрочных целевых программ по отчетности следующих ГАБС: </w:t>
      </w:r>
    </w:p>
    <w:p w:rsidR="00BD5028" w:rsidRPr="00BD5028" w:rsidRDefault="00BD5028" w:rsidP="00BD5028">
      <w:pPr>
        <w:pStyle w:val="ad"/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культуры;</w:t>
      </w:r>
    </w:p>
    <w:p w:rsidR="00BD5028" w:rsidRPr="00BD5028" w:rsidRDefault="00BD5028" w:rsidP="00BD5028">
      <w:pPr>
        <w:pStyle w:val="ad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физической культуры и спорта;</w:t>
      </w:r>
    </w:p>
    <w:p w:rsidR="00BD5028" w:rsidRPr="00BD5028" w:rsidRDefault="00BD5028" w:rsidP="00BD5028">
      <w:pPr>
        <w:pStyle w:val="ad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хозяйства.</w:t>
      </w:r>
    </w:p>
    <w:p w:rsidR="00BD5028" w:rsidRDefault="00393B97" w:rsidP="00BD502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2.3.3</w:t>
      </w:r>
      <w:r w:rsidR="007C4ECC" w:rsidRPr="00BD5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</w:t>
      </w:r>
      <w:r w:rsidR="004375B9" w:rsidRPr="00BD50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отчетности департамента градостроительства</w:t>
      </w:r>
      <w:r w:rsidR="004375B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</w:t>
      </w:r>
      <w:r w:rsidR="004375B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тсутствуют данные по подпрограмме «Градостроительная деятельность» программы «Содействие развитию жилищного строительства» на 2011-2013 годы и на период до 2015 года.  </w:t>
      </w:r>
    </w:p>
    <w:p w:rsidR="00450E53" w:rsidRPr="006E6B7A" w:rsidRDefault="00BD5028" w:rsidP="00BD502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</w:t>
      </w:r>
      <w:r w:rsidR="002E645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форме</w:t>
      </w:r>
      <w:r w:rsidR="005C1472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2E645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262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ОКУД </w:t>
      </w:r>
      <w:r w:rsidR="002E645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0503163 </w:t>
      </w:r>
      <w:r w:rsidR="0028768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«Сведения об изменении  бюджетной росписи</w:t>
      </w:r>
      <w:r w:rsidR="002E645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28768C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отчетности департамента имущественных и земельных отношений</w:t>
      </w:r>
      <w:r w:rsidR="0028768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указаны причины внесенных уточнений.</w:t>
      </w:r>
    </w:p>
    <w:p w:rsidR="005C1472" w:rsidRPr="006E6B7A" w:rsidRDefault="005C1472" w:rsidP="00BD5028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 форме по ОКУД 0503161 «Сведения о количестве подведомственных учреждений» в графах 4,11 </w:t>
      </w:r>
      <w:r w:rsidR="00393B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</w:t>
      </w:r>
      <w:r w:rsidR="0039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власти, территориальные органы»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отражены сведения о количестве учреждений не относящиеся к объектам, сведения о которых подлежат отражению в данных графах по отчетности следующих ГАБС:</w:t>
      </w:r>
    </w:p>
    <w:p w:rsidR="005C1472" w:rsidRPr="006E6B7A" w:rsidRDefault="005C1472" w:rsidP="00BD5028">
      <w:pPr>
        <w:pStyle w:val="ad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финансов;</w:t>
      </w:r>
    </w:p>
    <w:p w:rsidR="005C1472" w:rsidRPr="006E6B7A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имущественных и земельных отношений</w:t>
      </w:r>
      <w:r w:rsidR="005C1472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C1472" w:rsidRPr="006E6B7A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</w:t>
      </w:r>
      <w:r w:rsidR="005C147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1472" w:rsidRPr="006E6B7A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</w:t>
      </w:r>
      <w:r w:rsidR="005C147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1472" w:rsidRPr="006E6B7A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комитет по здравоохранению</w:t>
      </w:r>
      <w:r w:rsidR="005C147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1472" w:rsidRPr="00BD5028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</w:t>
      </w:r>
      <w:r w:rsidR="005C147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5028" w:rsidRPr="006E6B7A" w:rsidRDefault="00BD5028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опеки и попечительства;</w:t>
      </w:r>
    </w:p>
    <w:p w:rsidR="00B96AF7" w:rsidRPr="006E6B7A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градостроительства;</w:t>
      </w:r>
    </w:p>
    <w:p w:rsidR="00B96AF7" w:rsidRPr="006E6B7A" w:rsidRDefault="00B96AF7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жилищно-коммунального хозяйства;</w:t>
      </w:r>
    </w:p>
    <w:p w:rsidR="00B96AF7" w:rsidRPr="006E6B7A" w:rsidRDefault="00BD5028" w:rsidP="00BD5028">
      <w:pPr>
        <w:pStyle w:val="ad"/>
        <w:numPr>
          <w:ilvl w:val="0"/>
          <w:numId w:val="4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ЗАГС.</w:t>
      </w:r>
    </w:p>
    <w:p w:rsidR="00612875" w:rsidRPr="006E6B7A" w:rsidRDefault="00F61239" w:rsidP="00BD5028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3C5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8768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D53C5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768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 «Сведения о результатах внешних контрольных мероприятия» включающ</w:t>
      </w:r>
      <w:r w:rsidR="00393B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768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йся в раздел 5 «Прочие вопросы деятельности субъекта бюджетной отчетности» пояснительной записки (форма по ОКУД 0503160)</w:t>
      </w:r>
      <w:r w:rsidR="000224A8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3757A" w:rsidRPr="006E6B7A" w:rsidRDefault="00B96AF7" w:rsidP="00BD5028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3757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3757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1287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3757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50E53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757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отчетности</w:t>
      </w:r>
      <w:r w:rsidR="0023757A" w:rsidRPr="006E6B7A">
        <w:rPr>
          <w:sz w:val="28"/>
          <w:szCs w:val="28"/>
        </w:rPr>
        <w:t xml:space="preserve"> </w:t>
      </w:r>
      <w:r w:rsidR="0023757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департамента градостроительства</w:t>
      </w:r>
      <w:r w:rsidR="00450E53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3757A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123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неверно отражены следующие показатели:</w:t>
      </w:r>
    </w:p>
    <w:p w:rsidR="0023757A" w:rsidRPr="006E6B7A" w:rsidRDefault="0023757A" w:rsidP="00BD5028">
      <w:pPr>
        <w:pStyle w:val="ad"/>
        <w:numPr>
          <w:ilvl w:val="0"/>
          <w:numId w:val="19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графе 2 </w:t>
      </w:r>
      <w:r w:rsidR="00393B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аименование контрольного органа</w:t>
      </w:r>
      <w:r w:rsidR="00393B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</w:t>
      </w:r>
      <w:r w:rsidR="00F6123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Счетная палата </w:t>
      </w:r>
      <w:proofErr w:type="spellStart"/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ХМАО-Югры</w:t>
      </w:r>
      <w:proofErr w:type="spellEnd"/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тоже время 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следовало указать 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Счетная палата города Нефтеюганска</w:t>
      </w:r>
      <w:r w:rsidR="00F6123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3757A" w:rsidRPr="006E6B7A" w:rsidRDefault="0023757A" w:rsidP="00BD5028">
      <w:pPr>
        <w:pStyle w:val="ad"/>
        <w:numPr>
          <w:ilvl w:val="0"/>
          <w:numId w:val="19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графе 4 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«Р</w:t>
      </w:r>
      <w:r w:rsidR="0061287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езультаты проверок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3D262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неверно</w:t>
      </w:r>
      <w:r w:rsidR="0061287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D262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отражен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3D262D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6E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 и дата актов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612875" w:rsidRDefault="00B96AF7" w:rsidP="00BD5028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Не отражены сведения о контрольных мероприятиях</w:t>
      </w:r>
      <w:r w:rsid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Счетной палатой города Нефтеюганска</w:t>
      </w:r>
      <w:r w:rsid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7B2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отчетности следующих ГАБС:</w:t>
      </w:r>
    </w:p>
    <w:p w:rsidR="007D6C2F" w:rsidRPr="007D6C2F" w:rsidRDefault="007D6C2F" w:rsidP="007D6C2F">
      <w:pPr>
        <w:pStyle w:val="ad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культуры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D6C2F" w:rsidRPr="007D6C2F" w:rsidRDefault="007D6C2F" w:rsidP="007D6C2F">
      <w:pPr>
        <w:pStyle w:val="ad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 физической культуры и спорта;</w:t>
      </w:r>
    </w:p>
    <w:p w:rsidR="00612875" w:rsidRPr="006E6B7A" w:rsidRDefault="007D6C2F" w:rsidP="007D6C2F">
      <w:pPr>
        <w:pStyle w:val="ad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61287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жилищно-коммунального хозяйства;</w:t>
      </w:r>
    </w:p>
    <w:p w:rsidR="002106DA" w:rsidRPr="002E6E96" w:rsidRDefault="007D6C2F" w:rsidP="002E6E96">
      <w:pPr>
        <w:pStyle w:val="ad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612875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департамент имущ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ественных и земельных отношений.</w:t>
      </w:r>
    </w:p>
    <w:p w:rsidR="00B96AF7" w:rsidRPr="006E6B7A" w:rsidRDefault="00B96AF7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61A9D" w:rsidRDefault="00921B7D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0E5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внешней проверки у главных администраторов запрошена информация о кассовых расходах по КОСГУ 290 «Прочие расходы», с целью определения наличия оплаты судебных издержек, госпошлин</w:t>
      </w:r>
      <w:r w:rsidR="00A13DC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штрафов, пеней, не</w:t>
      </w:r>
      <w:r w:rsid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Согласно предоставленной информации затраты на указанные виды расходов составили </w:t>
      </w:r>
      <w:r w:rsid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>1 007 720</w:t>
      </w:r>
      <w:r w:rsidR="00B70CB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>ей 46 копеек</w:t>
      </w:r>
      <w:r w:rsidR="008D5B8A" w:rsidRPr="002E6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таблиц</w:t>
      </w:r>
      <w:r w:rsidR="00F2118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47692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0089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089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92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92E" w:rsidRPr="00616D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692E" w:rsidRPr="00616D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5989" w:rsidRPr="00616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6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612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C6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6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6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6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p w:rsidR="00DF5A39" w:rsidRPr="00DF5A39" w:rsidRDefault="00DF5A39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0" w:type="dxa"/>
        <w:tblInd w:w="93" w:type="dxa"/>
        <w:tblLayout w:type="fixed"/>
        <w:tblLook w:val="0000"/>
      </w:tblPr>
      <w:tblGrid>
        <w:gridCol w:w="2000"/>
        <w:gridCol w:w="1417"/>
        <w:gridCol w:w="1134"/>
        <w:gridCol w:w="956"/>
        <w:gridCol w:w="1177"/>
        <w:gridCol w:w="1373"/>
        <w:gridCol w:w="1373"/>
      </w:tblGrid>
      <w:tr w:rsidR="002E6E96" w:rsidRPr="006E6B7A" w:rsidTr="002E6E96">
        <w:trPr>
          <w:trHeight w:val="75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96" w:rsidRPr="006E6B7A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E6E96" w:rsidRPr="006E6B7A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96" w:rsidRPr="006E6B7A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E6E96" w:rsidRPr="006E6B7A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по КОСГУ 290</w:t>
            </w:r>
          </w:p>
        </w:tc>
        <w:tc>
          <w:tcPr>
            <w:tcW w:w="60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96" w:rsidRPr="006E6B7A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E6E96" w:rsidRPr="006E6B7A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В том числе оплата</w:t>
            </w:r>
          </w:p>
        </w:tc>
      </w:tr>
      <w:tr w:rsidR="00521421" w:rsidRPr="006E6B7A" w:rsidTr="00C7680B">
        <w:trPr>
          <w:trHeight w:val="772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недоим</w:t>
            </w:r>
            <w:r w:rsidR="00147BC6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147BC6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штрафов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B8A" w:rsidRPr="006E6B7A" w:rsidRDefault="002E6E96" w:rsidP="0014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судебные издержки, возмещение госпошлины по судебным искам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6E96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E6E96" w:rsidRDefault="002E6E96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8D5B8A" w:rsidRPr="006E6B7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421" w:rsidRPr="006E6B7A" w:rsidTr="00C7680B">
        <w:trPr>
          <w:trHeight w:val="4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942851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Дума города</w:t>
            </w:r>
            <w:r w:rsidR="008D5B8A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942851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573 186,07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942851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681,27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942851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681,27</w:t>
            </w:r>
          </w:p>
        </w:tc>
      </w:tr>
      <w:tr w:rsidR="00521421" w:rsidRPr="006E6B7A" w:rsidTr="00C7680B">
        <w:trPr>
          <w:trHeight w:val="43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градостроительства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A05CFB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443 980,45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A05CFB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A05CFB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8 600,00</w:t>
            </w:r>
            <w:r w:rsidR="008D5B8A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A05CFB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303 191,97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A05CFB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  <w:r w:rsidR="00142980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038,15</w:t>
            </w:r>
          </w:p>
        </w:tc>
      </w:tr>
      <w:tr w:rsidR="00521421" w:rsidRPr="006E6B7A" w:rsidTr="00C7680B">
        <w:trPr>
          <w:trHeight w:val="5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A05CFB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18 774 897,07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42851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4C283F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125 </w:t>
            </w:r>
            <w:r w:rsidR="00942851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2E6E96" w:rsidP="004C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256 890,26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DF5A39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382 818,37</w:t>
            </w:r>
          </w:p>
        </w:tc>
      </w:tr>
      <w:tr w:rsidR="00521421" w:rsidRPr="006E6B7A" w:rsidTr="00C7680B">
        <w:trPr>
          <w:trHeight w:val="73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Департамент жилищно-коммунального хозяйства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070C5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4 280 009,28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4C283F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1 850,24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4C283F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8D5B8A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2E6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E6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97 061,13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DF5A39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178 911,37</w:t>
            </w:r>
          </w:p>
        </w:tc>
      </w:tr>
      <w:tr w:rsidR="00521421" w:rsidRPr="006E6B7A" w:rsidTr="00C7680B">
        <w:trPr>
          <w:trHeight w:val="78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942851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623 055,07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42851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919,79 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942851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26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  <w:r w:rsidR="008D5B8A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942851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3 924,86</w:t>
            </w:r>
          </w:p>
        </w:tc>
      </w:tr>
      <w:tr w:rsidR="00070C5A" w:rsidRPr="006E6B7A" w:rsidTr="00C7680B">
        <w:trPr>
          <w:trHeight w:val="9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и земельных отношений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070C5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245 511,68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070C5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197,56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070C5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519,15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DF5A39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128 629,73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DF5A39" w:rsidP="0007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129 346,44</w:t>
            </w:r>
          </w:p>
        </w:tc>
      </w:tr>
      <w:tr w:rsidR="00B70CB6" w:rsidRPr="006E6B7A" w:rsidTr="00C7680B">
        <w:trPr>
          <w:trHeight w:val="26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8A" w:rsidRPr="006E6B7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8D5B8A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4C283F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4C283F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4 023,15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4C283F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217 919,15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DF5A39" w:rsidP="00942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785 773,09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E6B7A" w:rsidRDefault="00DF5A39" w:rsidP="00B70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1 007 720,46</w:t>
            </w:r>
          </w:p>
        </w:tc>
      </w:tr>
    </w:tbl>
    <w:p w:rsidR="00942851" w:rsidRPr="001D1A5F" w:rsidRDefault="008C484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D1A5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</w:p>
    <w:p w:rsidR="008D5B8A" w:rsidRDefault="0094285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уровень расходов приходится на </w:t>
      </w:r>
      <w:r w:rsidR="00B70CB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города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департамент жилищно-коммунального хозяйства. При этом следует отметить, что значительная доля расходования бюджетных средств направлена на оплату по исполнительным листам</w:t>
      </w:r>
      <w:r w:rsidR="00A4666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77E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5707" w:rsidRPr="006E6B7A" w:rsidRDefault="00525707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11" w:rsidRPr="00C75041" w:rsidRDefault="000A5061" w:rsidP="00C75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6208" w:rsidRPr="00196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ходе проверки внутренней согласованности соответствующих форм отчетности (контрольные соотношения) выявлено</w:t>
      </w:r>
      <w:r w:rsidR="00525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следующее:</w:t>
      </w:r>
    </w:p>
    <w:p w:rsidR="00393B97" w:rsidRPr="00525707" w:rsidRDefault="00525707" w:rsidP="00393B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393B97"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 департамента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по ОКУД 0503166 «Сведения об исполнении мероприятий в рамках целевых программ» в графе</w:t>
      </w:r>
      <w:r w:rsidR="00393B97"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«Исполненных бюджетных назначений»</w:t>
      </w:r>
      <w:r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B97" w:rsidRP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соответствовали данным отраженным в форме по ОКУД 0503127 «Отчете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</w:t>
      </w:r>
      <w:proofErr w:type="gramEnd"/>
    </w:p>
    <w:p w:rsidR="00450E53" w:rsidRPr="006E6B7A" w:rsidRDefault="00450E53" w:rsidP="00C75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50E53" w:rsidRPr="00EA6ACA" w:rsidRDefault="008D5B8A" w:rsidP="00525707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A5061"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Плановые показатели, </w:t>
      </w:r>
      <w:r w:rsidR="00A13DC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отраженные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годовой бюджетной отчетности </w:t>
      </w:r>
      <w:r w:rsidR="0011130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ГАБС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соответствуют показателям, утвержденным решением Думы города от 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9.12.201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-V «О бюджете города Нефтеюганск на 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 учетом изменений, внесенных в ходе исполнения бюджета.</w:t>
      </w:r>
      <w:r w:rsid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2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="00960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соответствии с нормами статей 217, 232 Бюджетного кодекса Российской Федерации в показатели сводной бюджетной росписи внесены изменения без внесения изменений в решение о бюджете</w:t>
      </w:r>
      <w:r w:rsidR="004C68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7D05F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сумму</w:t>
      </w:r>
      <w:r w:rsidR="00960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доведенных</w:t>
      </w:r>
      <w:r w:rsidR="00D057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субсидии</w:t>
      </w:r>
      <w:r w:rsidR="007D05F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ежемесячное денежное вознаграждение за классное руководство</w:t>
      </w:r>
      <w:r w:rsidR="00960B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</w:t>
      </w:r>
      <w:r w:rsidR="007D05F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окружного </w:t>
      </w:r>
      <w:r w:rsidR="00EA6A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бюджета</w:t>
      </w:r>
      <w:r w:rsidR="007D05F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</w:t>
      </w:r>
      <w:r w:rsidR="004375B9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сумм</w:t>
      </w:r>
      <w:r w:rsidR="007D05F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4375B9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1 506 000 рублей</w:t>
      </w:r>
      <w:r w:rsidR="004C68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по департаменту образования и молодежной политики</w:t>
      </w:r>
      <w:r w:rsidR="000009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proofErr w:type="gramEnd"/>
    </w:p>
    <w:p w:rsidR="00C867CB" w:rsidRDefault="000A506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соответствии с предоставленными сведениями о состоянии дебиторской  задолженности на 01.01.201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имеется</w:t>
      </w:r>
      <w:r w:rsidR="0047692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задолженность </w:t>
      </w:r>
      <w:r w:rsidR="006276C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7A1F1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06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867C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1 893 841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85F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C867CB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22285F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67CB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</w:t>
      </w:r>
      <w:r w:rsidR="00B7106E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285F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копе</w:t>
      </w:r>
      <w:r w:rsidR="00C867CB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 (таблица 2)</w:t>
      </w:r>
      <w:r w:rsidR="00CD3591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E6B7A" w:rsidRPr="006E6B7A" w:rsidRDefault="006E6B7A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66" w:rsidRPr="006E6B7A" w:rsidRDefault="0098164E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35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E45E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54"/>
        <w:gridCol w:w="1858"/>
        <w:gridCol w:w="1431"/>
        <w:gridCol w:w="1548"/>
        <w:gridCol w:w="1538"/>
      </w:tblGrid>
      <w:tr w:rsidR="00AE5CBA" w:rsidRPr="006E6B7A" w:rsidTr="00A20B08">
        <w:trPr>
          <w:trHeight w:val="353"/>
        </w:trPr>
        <w:tc>
          <w:tcPr>
            <w:tcW w:w="2754" w:type="dxa"/>
            <w:vMerge w:val="restart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6375" w:type="dxa"/>
            <w:gridSpan w:val="4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Дебиторская задолженность </w:t>
            </w:r>
            <w:proofErr w:type="gramStart"/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0503169 «Сведения по дебиторской и кредиторской задолженности»</w:t>
            </w:r>
          </w:p>
        </w:tc>
      </w:tr>
      <w:tr w:rsidR="00AE5CBA" w:rsidRPr="006E6B7A" w:rsidTr="00A20B08">
        <w:trPr>
          <w:trHeight w:val="475"/>
        </w:trPr>
        <w:tc>
          <w:tcPr>
            <w:tcW w:w="2754" w:type="dxa"/>
            <w:vMerge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gridSpan w:val="2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3086" w:type="dxa"/>
            <w:gridSpan w:val="2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</w:t>
            </w: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  <w:vMerge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</w:tcPr>
          <w:p w:rsidR="00966066" w:rsidRPr="006E6B7A" w:rsidRDefault="00943164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431" w:type="dxa"/>
          </w:tcPr>
          <w:p w:rsidR="00966066" w:rsidRPr="006E6B7A" w:rsidRDefault="00943164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="001F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нереальная</w:t>
            </w:r>
            <w:proofErr w:type="gramEnd"/>
            <w:r w:rsidR="001F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</w:t>
            </w:r>
            <w:r w:rsidR="001F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взысканию,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</w:t>
            </w:r>
          </w:p>
        </w:tc>
        <w:tc>
          <w:tcPr>
            <w:tcW w:w="1548" w:type="dxa"/>
          </w:tcPr>
          <w:p w:rsidR="00966066" w:rsidRPr="006E6B7A" w:rsidRDefault="00943164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задолженность</w:t>
            </w:r>
          </w:p>
        </w:tc>
        <w:tc>
          <w:tcPr>
            <w:tcW w:w="1538" w:type="dxa"/>
          </w:tcPr>
          <w:p w:rsidR="00966066" w:rsidRPr="006E6B7A" w:rsidRDefault="001F3714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нереальная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взысканию,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</w:t>
            </w: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Дума города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3 912,25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63 891,99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435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1858" w:type="dxa"/>
          </w:tcPr>
          <w:p w:rsidR="00966066" w:rsidRPr="006E6B7A" w:rsidRDefault="002B390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312 141,15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2B390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278 729,69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146 677,32</w:t>
            </w:r>
          </w:p>
        </w:tc>
        <w:tc>
          <w:tcPr>
            <w:tcW w:w="1431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88 177,50</w:t>
            </w:r>
          </w:p>
        </w:tc>
        <w:tc>
          <w:tcPr>
            <w:tcW w:w="154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41 378,10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</w:t>
            </w:r>
          </w:p>
        </w:tc>
        <w:tc>
          <w:tcPr>
            <w:tcW w:w="1858" w:type="dxa"/>
          </w:tcPr>
          <w:p w:rsidR="00596278" w:rsidRPr="006E6B7A" w:rsidRDefault="00596278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965 549,54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596278" w:rsidRPr="006E6B7A" w:rsidRDefault="00596278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59 925,48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</w:t>
            </w:r>
          </w:p>
        </w:tc>
        <w:tc>
          <w:tcPr>
            <w:tcW w:w="1858" w:type="dxa"/>
          </w:tcPr>
          <w:p w:rsidR="00966066" w:rsidRPr="006E6B7A" w:rsidRDefault="00746E44" w:rsidP="00CD3C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3 548 694,03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746E44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391 441,00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217 696,53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1 819 654,07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здравоохранению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85 439,61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325523" w:rsidP="00B710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631 668,</w:t>
            </w:r>
            <w:r w:rsidR="00B7106E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физической культуры и спорта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175 760,90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B7106E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градостроительства</w:t>
            </w:r>
          </w:p>
        </w:tc>
        <w:tc>
          <w:tcPr>
            <w:tcW w:w="1858" w:type="dxa"/>
          </w:tcPr>
          <w:p w:rsidR="00966066" w:rsidRPr="006E6B7A" w:rsidRDefault="00325523" w:rsidP="00EA46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397 00</w:t>
            </w:r>
            <w:r w:rsidR="00EA46F9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0 526,11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5E39BE" w:rsidP="00C867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  <w:r w:rsidR="00C867CB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243 887,56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2 254 180,15</w:t>
            </w:r>
          </w:p>
        </w:tc>
        <w:tc>
          <w:tcPr>
            <w:tcW w:w="1431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2 020 963,40</w:t>
            </w:r>
          </w:p>
        </w:tc>
        <w:tc>
          <w:tcPr>
            <w:tcW w:w="154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9 361 829,7</w:t>
            </w:r>
            <w:r w:rsidR="00B7106E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966066" w:rsidRPr="006E6B7A" w:rsidRDefault="00966066" w:rsidP="0094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ЗАГС</w:t>
            </w:r>
          </w:p>
        </w:tc>
        <w:tc>
          <w:tcPr>
            <w:tcW w:w="185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1 380,54</w:t>
            </w:r>
          </w:p>
        </w:tc>
        <w:tc>
          <w:tcPr>
            <w:tcW w:w="1431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</w:tcPr>
          <w:p w:rsidR="00966066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1 435,59</w:t>
            </w:r>
          </w:p>
        </w:tc>
        <w:tc>
          <w:tcPr>
            <w:tcW w:w="1538" w:type="dxa"/>
          </w:tcPr>
          <w:p w:rsidR="00966066" w:rsidRPr="006E6B7A" w:rsidRDefault="00966066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5CBA" w:rsidRPr="006E6B7A" w:rsidTr="00A20B08">
        <w:trPr>
          <w:trHeight w:val="353"/>
        </w:trPr>
        <w:tc>
          <w:tcPr>
            <w:tcW w:w="2754" w:type="dxa"/>
          </w:tcPr>
          <w:p w:rsidR="00CB02AF" w:rsidRPr="006E6B7A" w:rsidRDefault="00CB02AF" w:rsidP="00CB0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58" w:type="dxa"/>
          </w:tcPr>
          <w:p w:rsidR="00CB02AF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404 711 958,13</w:t>
            </w:r>
          </w:p>
        </w:tc>
        <w:tc>
          <w:tcPr>
            <w:tcW w:w="1431" w:type="dxa"/>
          </w:tcPr>
          <w:p w:rsidR="00CB02AF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2 109 140,90</w:t>
            </w:r>
          </w:p>
        </w:tc>
        <w:tc>
          <w:tcPr>
            <w:tcW w:w="1548" w:type="dxa"/>
          </w:tcPr>
          <w:p w:rsidR="00CB02AF" w:rsidRPr="006E6B7A" w:rsidRDefault="00C867CB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181 893 841,98</w:t>
            </w:r>
          </w:p>
        </w:tc>
        <w:tc>
          <w:tcPr>
            <w:tcW w:w="1538" w:type="dxa"/>
          </w:tcPr>
          <w:p w:rsidR="00CB02AF" w:rsidRPr="006E6B7A" w:rsidRDefault="00CB02AF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6066" w:rsidRPr="00325523" w:rsidRDefault="00966066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EE12C6" w:rsidRDefault="008D5B8A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142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201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дебиторск</w:t>
      </w:r>
      <w:r w:rsidR="00416D8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</w:t>
      </w:r>
      <w:r w:rsidR="00416D8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15B2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6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</w:t>
      </w:r>
      <w:r w:rsidR="00416D8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илась</w:t>
      </w:r>
      <w:r w:rsidR="00E53C9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E39B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 w:rsidR="00CD35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 818 116</w:t>
      </w:r>
      <w:r w:rsidR="00E53C9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D35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53C9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9B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35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B0AF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5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="00310C6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</w:t>
      </w:r>
      <w:r w:rsidR="00EE1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B54B2" w:rsidRPr="006E6B7A" w:rsidRDefault="00EE12C6" w:rsidP="00EE12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310C6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75C4F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счет списания дебиторской задолженности </w:t>
      </w:r>
      <w:r w:rsidR="00141C4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19 993 315</w:t>
      </w:r>
      <w:r w:rsidR="00141C49" w:rsidRPr="006E6B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13 копеек</w:t>
      </w:r>
      <w:r w:rsidR="00141C49"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от 1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20 и от 09.12.2013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19 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</w:t>
      </w:r>
      <w:r w:rsidR="00141C4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</w:t>
      </w:r>
      <w:proofErr w:type="gramStart"/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6B5C9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муниципальных предприятий, муниципальных учреждений и хозяйственных обществ со 100 процентной долей муниципальной собственности в уставном капитале</w:t>
      </w:r>
      <w:r w:rsidR="00351BE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3DC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</w:t>
      </w:r>
      <w:r w:rsidR="00351BE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1BED" w:rsidRPr="006E6B7A" w:rsidRDefault="00351BED" w:rsidP="00351BED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 – 17 972 352 рубля 53 копейки;</w:t>
      </w:r>
    </w:p>
    <w:p w:rsidR="00351BED" w:rsidRDefault="00351BED" w:rsidP="00351BED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 – 2 020 962 рубля 60 копеек</w:t>
      </w:r>
      <w:r w:rsidR="000E29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DEC" w:rsidRDefault="002E6E96" w:rsidP="00514DE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 состоянию на 01.01.2013 з</w:t>
      </w:r>
      <w:proofErr w:type="gramStart"/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ТрансЭнергоСтрой</w:t>
      </w:r>
      <w:proofErr w:type="spellEnd"/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>» числилась просроченная дебиторская задолженность нереальная к взысканию в сумме 244 963 рубля 40 копеек. На ос</w:t>
      </w:r>
      <w:r w:rsidR="001E7C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решения комиссии</w:t>
      </w:r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gramStart"/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7D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муниципальных предприятий, учреждений и хозяйственных обществ со 100 процентной долей муниципальной собственности в уставном капитале от 17.12.2013 № 20 вышеуказанная задолженность списана в сумме 244 962 рубля 60 копеек. Остаток не списанной задолженности составил в сумме 80 копеек, который также не отражен в форме по ОКУД 0503169.</w:t>
      </w:r>
    </w:p>
    <w:p w:rsidR="000E2926" w:rsidRDefault="000E2926" w:rsidP="00514DE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A5F" w:rsidRPr="006E6B7A" w:rsidRDefault="00612875" w:rsidP="00981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задолженность по доходам составила 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140 741 474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616D32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B8A" w:rsidRPr="006E6B7A" w:rsidRDefault="001D1A5F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</w:p>
    <w:tbl>
      <w:tblPr>
        <w:tblStyle w:val="a3"/>
        <w:tblW w:w="10031" w:type="dxa"/>
        <w:tblLayout w:type="fixed"/>
        <w:tblLook w:val="0600"/>
      </w:tblPr>
      <w:tblGrid>
        <w:gridCol w:w="2862"/>
        <w:gridCol w:w="1502"/>
        <w:gridCol w:w="1399"/>
        <w:gridCol w:w="4268"/>
      </w:tblGrid>
      <w:tr w:rsidR="00521421" w:rsidRPr="006E6B7A" w:rsidTr="000153B7">
        <w:trPr>
          <w:trHeight w:val="1008"/>
        </w:trPr>
        <w:tc>
          <w:tcPr>
            <w:tcW w:w="2862" w:type="dxa"/>
            <w:vMerge w:val="restart"/>
          </w:tcPr>
          <w:p w:rsidR="008D5B8A" w:rsidRPr="006E6B7A" w:rsidRDefault="008D5B8A" w:rsidP="00616D32">
            <w:pPr>
              <w:spacing w:after="120"/>
              <w:jc w:val="center"/>
            </w:pPr>
          </w:p>
          <w:p w:rsidR="008D5B8A" w:rsidRPr="006E6B7A" w:rsidRDefault="008D5B8A" w:rsidP="00616D32">
            <w:pPr>
              <w:spacing w:after="120"/>
              <w:jc w:val="center"/>
            </w:pPr>
          </w:p>
          <w:p w:rsidR="008D5B8A" w:rsidRPr="006E6B7A" w:rsidRDefault="008D5B8A" w:rsidP="00616D32">
            <w:pPr>
              <w:spacing w:after="120"/>
              <w:jc w:val="center"/>
            </w:pPr>
            <w:r w:rsidRPr="006E6B7A">
              <w:t>Вид доходов</w:t>
            </w:r>
          </w:p>
        </w:tc>
        <w:tc>
          <w:tcPr>
            <w:tcW w:w="2901" w:type="dxa"/>
            <w:gridSpan w:val="2"/>
          </w:tcPr>
          <w:p w:rsidR="000153B7" w:rsidRPr="006E6B7A" w:rsidRDefault="000153B7" w:rsidP="00616D32">
            <w:pPr>
              <w:spacing w:after="120"/>
              <w:jc w:val="center"/>
            </w:pPr>
          </w:p>
          <w:p w:rsidR="008D5B8A" w:rsidRPr="006E6B7A" w:rsidRDefault="008D5B8A" w:rsidP="00616D32">
            <w:pPr>
              <w:spacing w:after="120"/>
              <w:jc w:val="center"/>
            </w:pPr>
            <w:r w:rsidRPr="006E6B7A">
              <w:t xml:space="preserve">Дебиторская задолженность </w:t>
            </w:r>
            <w:proofErr w:type="gramStart"/>
            <w:r w:rsidRPr="006E6B7A">
              <w:t>согласно формы</w:t>
            </w:r>
            <w:proofErr w:type="gramEnd"/>
            <w:r w:rsidRPr="006E6B7A">
              <w:t xml:space="preserve"> 0503169 «Сведения по дебиторской и кредиторской задолженности»</w:t>
            </w:r>
          </w:p>
        </w:tc>
        <w:tc>
          <w:tcPr>
            <w:tcW w:w="4268" w:type="dxa"/>
          </w:tcPr>
          <w:p w:rsidR="008D5B8A" w:rsidRPr="006E6B7A" w:rsidRDefault="008D5B8A" w:rsidP="00616D32">
            <w:pPr>
              <w:jc w:val="center"/>
              <w:rPr>
                <w:b/>
                <w:bCs/>
              </w:rPr>
            </w:pPr>
          </w:p>
          <w:p w:rsidR="008D5B8A" w:rsidRPr="006E6B7A" w:rsidRDefault="008D5B8A" w:rsidP="00616D32">
            <w:pPr>
              <w:jc w:val="center"/>
              <w:rPr>
                <w:b/>
                <w:bCs/>
              </w:rPr>
            </w:pPr>
          </w:p>
          <w:p w:rsidR="008D5B8A" w:rsidRPr="006E6B7A" w:rsidRDefault="008D5B8A" w:rsidP="00616D32">
            <w:pPr>
              <w:jc w:val="center"/>
              <w:rPr>
                <w:b/>
                <w:bCs/>
              </w:rPr>
            </w:pPr>
          </w:p>
          <w:p w:rsidR="008D5B8A" w:rsidRPr="006E6B7A" w:rsidRDefault="008D5B8A" w:rsidP="00616D32">
            <w:pPr>
              <w:jc w:val="center"/>
              <w:rPr>
                <w:b/>
                <w:bCs/>
              </w:rPr>
            </w:pPr>
          </w:p>
          <w:p w:rsidR="008D5B8A" w:rsidRPr="006E6B7A" w:rsidRDefault="00E4347F" w:rsidP="00616D32">
            <w:pPr>
              <w:jc w:val="center"/>
              <w:rPr>
                <w:bCs/>
              </w:rPr>
            </w:pPr>
            <w:r>
              <w:rPr>
                <w:bCs/>
              </w:rPr>
              <w:t>Работа по взысканию задолженности</w:t>
            </w:r>
          </w:p>
          <w:p w:rsidR="008D5B8A" w:rsidRPr="006E6B7A" w:rsidRDefault="008D5B8A" w:rsidP="00616D32">
            <w:pPr>
              <w:spacing w:after="120"/>
              <w:jc w:val="center"/>
            </w:pPr>
          </w:p>
        </w:tc>
      </w:tr>
      <w:tr w:rsidR="00521421" w:rsidRPr="006E6B7A" w:rsidTr="00CD6A50">
        <w:trPr>
          <w:trHeight w:val="135"/>
        </w:trPr>
        <w:tc>
          <w:tcPr>
            <w:tcW w:w="2862" w:type="dxa"/>
            <w:vMerge/>
          </w:tcPr>
          <w:p w:rsidR="008D5B8A" w:rsidRPr="006E6B7A" w:rsidRDefault="008D5B8A" w:rsidP="00616D32">
            <w:pPr>
              <w:jc w:val="center"/>
            </w:pPr>
          </w:p>
        </w:tc>
        <w:tc>
          <w:tcPr>
            <w:tcW w:w="1502" w:type="dxa"/>
          </w:tcPr>
          <w:p w:rsidR="008D5B8A" w:rsidRPr="006E6B7A" w:rsidRDefault="008D5B8A" w:rsidP="00616D32">
            <w:pPr>
              <w:jc w:val="center"/>
            </w:pPr>
          </w:p>
          <w:p w:rsidR="008D5B8A" w:rsidRPr="006E6B7A" w:rsidRDefault="008D5B8A" w:rsidP="00616D32">
            <w:pPr>
              <w:jc w:val="center"/>
            </w:pPr>
            <w:r w:rsidRPr="006E6B7A">
              <w:t>Всего</w:t>
            </w:r>
          </w:p>
        </w:tc>
        <w:tc>
          <w:tcPr>
            <w:tcW w:w="1399" w:type="dxa"/>
          </w:tcPr>
          <w:p w:rsidR="008D5B8A" w:rsidRPr="006E6B7A" w:rsidRDefault="00D624F5" w:rsidP="00616D32">
            <w:pPr>
              <w:jc w:val="center"/>
            </w:pPr>
            <w:r w:rsidRPr="006E6B7A">
              <w:t>в</w:t>
            </w:r>
            <w:r w:rsidR="00274AF7" w:rsidRPr="006E6B7A">
              <w:t xml:space="preserve"> том числе</w:t>
            </w:r>
            <w:r w:rsidR="008D5B8A" w:rsidRPr="006E6B7A">
              <w:t xml:space="preserve"> </w:t>
            </w:r>
            <w:proofErr w:type="gramStart"/>
            <w:r w:rsidR="008D5B8A" w:rsidRPr="006E6B7A">
              <w:t>просроченная</w:t>
            </w:r>
            <w:proofErr w:type="gramEnd"/>
          </w:p>
        </w:tc>
        <w:tc>
          <w:tcPr>
            <w:tcW w:w="4268" w:type="dxa"/>
          </w:tcPr>
          <w:p w:rsidR="008D5B8A" w:rsidRPr="006E6B7A" w:rsidRDefault="008D5B8A" w:rsidP="00616D32">
            <w:pPr>
              <w:jc w:val="center"/>
            </w:pPr>
          </w:p>
        </w:tc>
      </w:tr>
      <w:tr w:rsidR="00477248" w:rsidRPr="006E6B7A" w:rsidTr="00CD6A50">
        <w:trPr>
          <w:trHeight w:val="1805"/>
        </w:trPr>
        <w:tc>
          <w:tcPr>
            <w:tcW w:w="2862" w:type="dxa"/>
          </w:tcPr>
          <w:p w:rsidR="00AA0403" w:rsidRPr="006E6B7A" w:rsidRDefault="00AA0403" w:rsidP="00CD6A50">
            <w:pPr>
              <w:jc w:val="both"/>
            </w:pPr>
            <w:r w:rsidRPr="006E6B7A"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02" w:type="dxa"/>
          </w:tcPr>
          <w:p w:rsidR="00477248" w:rsidRPr="006E6B7A" w:rsidRDefault="00477248" w:rsidP="005A67E6">
            <w:pPr>
              <w:jc w:val="right"/>
            </w:pPr>
          </w:p>
          <w:p w:rsidR="00AA0403" w:rsidRPr="006E6B7A" w:rsidRDefault="00AA0403" w:rsidP="005A67E6">
            <w:pPr>
              <w:jc w:val="right"/>
            </w:pPr>
          </w:p>
          <w:p w:rsidR="00AA0403" w:rsidRPr="006E6B7A" w:rsidRDefault="00AA0403" w:rsidP="005A67E6">
            <w:pPr>
              <w:jc w:val="right"/>
            </w:pPr>
          </w:p>
          <w:p w:rsidR="00AA0403" w:rsidRPr="006E6B7A" w:rsidRDefault="00AA0403" w:rsidP="005A67E6">
            <w:pPr>
              <w:jc w:val="right"/>
            </w:pPr>
            <w:r w:rsidRPr="006E6B7A">
              <w:t>32 586 949,22</w:t>
            </w:r>
          </w:p>
          <w:p w:rsidR="00AA0403" w:rsidRPr="006E6B7A" w:rsidRDefault="00AA0403" w:rsidP="005A67E6">
            <w:pPr>
              <w:jc w:val="right"/>
            </w:pPr>
          </w:p>
          <w:p w:rsidR="00AA0403" w:rsidRPr="006E6B7A" w:rsidRDefault="00AA0403" w:rsidP="005A67E6">
            <w:pPr>
              <w:jc w:val="right"/>
            </w:pPr>
          </w:p>
        </w:tc>
        <w:tc>
          <w:tcPr>
            <w:tcW w:w="1399" w:type="dxa"/>
          </w:tcPr>
          <w:p w:rsidR="00477248" w:rsidRPr="006E6B7A" w:rsidRDefault="00477248" w:rsidP="005A67E6">
            <w:pPr>
              <w:jc w:val="right"/>
            </w:pPr>
          </w:p>
          <w:p w:rsidR="00477248" w:rsidRPr="006E6B7A" w:rsidRDefault="00477248" w:rsidP="005A67E6">
            <w:pPr>
              <w:jc w:val="right"/>
            </w:pPr>
          </w:p>
          <w:p w:rsidR="00477248" w:rsidRPr="006E6B7A" w:rsidRDefault="00477248" w:rsidP="005A67E6">
            <w:pPr>
              <w:jc w:val="right"/>
            </w:pPr>
          </w:p>
          <w:p w:rsidR="00AA0403" w:rsidRPr="006E6B7A" w:rsidRDefault="00AA0403" w:rsidP="000E426E">
            <w:pPr>
              <w:jc w:val="right"/>
            </w:pPr>
          </w:p>
        </w:tc>
        <w:tc>
          <w:tcPr>
            <w:tcW w:w="4268" w:type="dxa"/>
          </w:tcPr>
          <w:p w:rsidR="00477248" w:rsidRPr="006E6B7A" w:rsidRDefault="0022189D" w:rsidP="0022189D">
            <w:pPr>
              <w:jc w:val="both"/>
            </w:pPr>
            <w:r w:rsidRPr="006E6B7A">
              <w:t>Первоначально проводится досудебный порядок урегулирования споров, а именно направлено 88 уведомлений, а также передано 7 дел для взыскания в судебном порядке</w:t>
            </w:r>
          </w:p>
        </w:tc>
      </w:tr>
      <w:tr w:rsidR="00734F26" w:rsidRPr="006E6B7A" w:rsidTr="00CD6A50">
        <w:trPr>
          <w:trHeight w:val="381"/>
        </w:trPr>
        <w:tc>
          <w:tcPr>
            <w:tcW w:w="2862" w:type="dxa"/>
          </w:tcPr>
          <w:p w:rsidR="00734F26" w:rsidRPr="006E6B7A" w:rsidRDefault="00734F26" w:rsidP="00184C45">
            <w:pPr>
              <w:jc w:val="both"/>
            </w:pPr>
            <w:r w:rsidRPr="006E6B7A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02" w:type="dxa"/>
          </w:tcPr>
          <w:p w:rsidR="00596278" w:rsidRPr="006E6B7A" w:rsidRDefault="00596278" w:rsidP="005A67E6">
            <w:pPr>
              <w:jc w:val="right"/>
            </w:pPr>
          </w:p>
          <w:p w:rsidR="00596278" w:rsidRPr="006E6B7A" w:rsidRDefault="00596278" w:rsidP="005A67E6">
            <w:pPr>
              <w:jc w:val="right"/>
            </w:pPr>
          </w:p>
          <w:p w:rsidR="00734F26" w:rsidRPr="006E6B7A" w:rsidRDefault="00734F26" w:rsidP="005A67E6">
            <w:pPr>
              <w:jc w:val="right"/>
            </w:pPr>
            <w:r w:rsidRPr="006E6B7A">
              <w:t>2 563,00</w:t>
            </w:r>
          </w:p>
        </w:tc>
        <w:tc>
          <w:tcPr>
            <w:tcW w:w="1399" w:type="dxa"/>
          </w:tcPr>
          <w:p w:rsidR="00734F26" w:rsidRPr="006E6B7A" w:rsidRDefault="00734F26" w:rsidP="005A67E6">
            <w:pPr>
              <w:jc w:val="right"/>
            </w:pPr>
          </w:p>
        </w:tc>
        <w:tc>
          <w:tcPr>
            <w:tcW w:w="4268" w:type="dxa"/>
          </w:tcPr>
          <w:p w:rsidR="00734F26" w:rsidRPr="006E6B7A" w:rsidRDefault="00E4347F" w:rsidP="00734F26">
            <w:pPr>
              <w:jc w:val="both"/>
            </w:pPr>
            <w:r>
              <w:t>Направлено письмо с предложением о погашении задолженности</w:t>
            </w:r>
          </w:p>
        </w:tc>
      </w:tr>
      <w:tr w:rsidR="00521421" w:rsidRPr="006E6B7A" w:rsidTr="00CD6A50">
        <w:trPr>
          <w:trHeight w:val="1906"/>
        </w:trPr>
        <w:tc>
          <w:tcPr>
            <w:tcW w:w="2862" w:type="dxa"/>
          </w:tcPr>
          <w:p w:rsidR="008D5B8A" w:rsidRPr="006E6B7A" w:rsidRDefault="00CB2452" w:rsidP="00184C45">
            <w:pPr>
              <w:jc w:val="both"/>
            </w:pPr>
            <w:proofErr w:type="gramStart"/>
            <w:r w:rsidRPr="006E6B7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02" w:type="dxa"/>
          </w:tcPr>
          <w:p w:rsidR="008D5B8A" w:rsidRPr="006E6B7A" w:rsidRDefault="008D5B8A" w:rsidP="005A67E6">
            <w:pPr>
              <w:jc w:val="right"/>
            </w:pPr>
          </w:p>
          <w:p w:rsidR="00CB2452" w:rsidRPr="006E6B7A" w:rsidRDefault="00CB2452" w:rsidP="005A67E6">
            <w:pPr>
              <w:jc w:val="right"/>
            </w:pPr>
          </w:p>
          <w:p w:rsidR="00CB2452" w:rsidRPr="006E6B7A" w:rsidRDefault="00CB2452" w:rsidP="005A67E6">
            <w:pPr>
              <w:jc w:val="right"/>
            </w:pPr>
            <w:r w:rsidRPr="006E6B7A">
              <w:t>- 29 262,38</w:t>
            </w:r>
          </w:p>
        </w:tc>
        <w:tc>
          <w:tcPr>
            <w:tcW w:w="1399" w:type="dxa"/>
          </w:tcPr>
          <w:p w:rsidR="008D5B8A" w:rsidRPr="006E6B7A" w:rsidRDefault="008D5B8A" w:rsidP="005A67E6">
            <w:pPr>
              <w:jc w:val="right"/>
            </w:pPr>
          </w:p>
        </w:tc>
        <w:tc>
          <w:tcPr>
            <w:tcW w:w="4268" w:type="dxa"/>
          </w:tcPr>
          <w:p w:rsidR="008D5B8A" w:rsidRPr="006E6B7A" w:rsidRDefault="00CB2452" w:rsidP="00184C45">
            <w:pPr>
              <w:jc w:val="both"/>
            </w:pPr>
            <w:r w:rsidRPr="006E6B7A">
              <w:t>Оплата за земли находящиеся в собственности произведена ранее срока начисления арендной платы</w:t>
            </w:r>
          </w:p>
        </w:tc>
      </w:tr>
      <w:tr w:rsidR="00521421" w:rsidRPr="006E6B7A" w:rsidTr="00CD6A50">
        <w:trPr>
          <w:trHeight w:val="381"/>
        </w:trPr>
        <w:tc>
          <w:tcPr>
            <w:tcW w:w="2862" w:type="dxa"/>
          </w:tcPr>
          <w:p w:rsidR="00477248" w:rsidRPr="006E6B7A" w:rsidRDefault="00477248" w:rsidP="00184C45">
            <w:pPr>
              <w:jc w:val="both"/>
            </w:pPr>
            <w:r w:rsidRPr="006E6B7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02" w:type="dxa"/>
          </w:tcPr>
          <w:p w:rsidR="008D5B8A" w:rsidRPr="006E6B7A" w:rsidRDefault="008D5B8A" w:rsidP="005A67E6">
            <w:pPr>
              <w:jc w:val="right"/>
            </w:pPr>
          </w:p>
          <w:p w:rsidR="008D5B8A" w:rsidRPr="006E6B7A" w:rsidRDefault="008D5B8A" w:rsidP="005A67E6">
            <w:pPr>
              <w:jc w:val="right"/>
            </w:pPr>
          </w:p>
          <w:p w:rsidR="008D5B8A" w:rsidRPr="006E6B7A" w:rsidRDefault="008D5B8A" w:rsidP="005A67E6">
            <w:pPr>
              <w:jc w:val="right"/>
            </w:pPr>
          </w:p>
          <w:p w:rsidR="00477248" w:rsidRPr="006E6B7A" w:rsidRDefault="00477248" w:rsidP="005A67E6">
            <w:pPr>
              <w:jc w:val="right"/>
            </w:pPr>
            <w:r w:rsidRPr="006E6B7A">
              <w:t>937 101,16</w:t>
            </w:r>
          </w:p>
        </w:tc>
        <w:tc>
          <w:tcPr>
            <w:tcW w:w="1399" w:type="dxa"/>
          </w:tcPr>
          <w:p w:rsidR="008D5B8A" w:rsidRPr="006E6B7A" w:rsidRDefault="008D5B8A" w:rsidP="005A67E6">
            <w:pPr>
              <w:jc w:val="right"/>
            </w:pPr>
          </w:p>
        </w:tc>
        <w:tc>
          <w:tcPr>
            <w:tcW w:w="4268" w:type="dxa"/>
          </w:tcPr>
          <w:p w:rsidR="008D5B8A" w:rsidRPr="006E6B7A" w:rsidRDefault="008D5B8A" w:rsidP="00184C45">
            <w:pPr>
              <w:jc w:val="both"/>
            </w:pPr>
          </w:p>
          <w:p w:rsidR="00477248" w:rsidRPr="006E6B7A" w:rsidRDefault="00AA0403" w:rsidP="00612875">
            <w:pPr>
              <w:jc w:val="both"/>
            </w:pPr>
            <w:r w:rsidRPr="006E6B7A">
              <w:t xml:space="preserve">Причиной образования задолженности является </w:t>
            </w:r>
            <w:r w:rsidR="00346B4D" w:rsidRPr="006E6B7A">
              <w:t xml:space="preserve">начисленная </w:t>
            </w:r>
            <w:r w:rsidRPr="006E6B7A">
              <w:t xml:space="preserve"> пен</w:t>
            </w:r>
            <w:r w:rsidR="00346B4D" w:rsidRPr="006E6B7A">
              <w:t>я</w:t>
            </w:r>
            <w:r w:rsidRPr="006E6B7A">
              <w:t xml:space="preserve">, </w:t>
            </w:r>
            <w:r w:rsidR="00612875" w:rsidRPr="006E6B7A">
              <w:t xml:space="preserve">и не погашенная по исполнительным </w:t>
            </w:r>
            <w:r w:rsidRPr="006E6B7A">
              <w:t xml:space="preserve"> листам</w:t>
            </w:r>
            <w:r w:rsidR="00346B4D" w:rsidRPr="006E6B7A">
              <w:t>.</w:t>
            </w:r>
            <w:r w:rsidR="00E4347F">
              <w:t xml:space="preserve"> Ведется работа по урегулированию данной задолженности</w:t>
            </w:r>
          </w:p>
        </w:tc>
      </w:tr>
      <w:tr w:rsidR="00450E53" w:rsidRPr="006E6B7A" w:rsidTr="00CD6A50">
        <w:trPr>
          <w:trHeight w:val="381"/>
        </w:trPr>
        <w:tc>
          <w:tcPr>
            <w:tcW w:w="2862" w:type="dxa"/>
          </w:tcPr>
          <w:p w:rsidR="00450E53" w:rsidRPr="006E6B7A" w:rsidRDefault="00450E53" w:rsidP="00450E53">
            <w:pPr>
              <w:jc w:val="both"/>
            </w:pPr>
            <w:r w:rsidRPr="006E6B7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:rsidR="00450E53" w:rsidRPr="006E6B7A" w:rsidRDefault="00450E53" w:rsidP="00184C45">
            <w:pPr>
              <w:jc w:val="both"/>
            </w:pPr>
          </w:p>
        </w:tc>
        <w:tc>
          <w:tcPr>
            <w:tcW w:w="1502" w:type="dxa"/>
          </w:tcPr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  <w:r w:rsidRPr="006E6B7A">
              <w:t>107 244 123,64</w:t>
            </w:r>
          </w:p>
        </w:tc>
        <w:tc>
          <w:tcPr>
            <w:tcW w:w="1399" w:type="dxa"/>
          </w:tcPr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5A67E6">
            <w:pPr>
              <w:jc w:val="right"/>
            </w:pPr>
          </w:p>
          <w:p w:rsidR="00450E53" w:rsidRPr="006E6B7A" w:rsidRDefault="00450E53" w:rsidP="000E426E">
            <w:pPr>
              <w:jc w:val="right"/>
            </w:pPr>
          </w:p>
        </w:tc>
        <w:tc>
          <w:tcPr>
            <w:tcW w:w="4268" w:type="dxa"/>
          </w:tcPr>
          <w:p w:rsidR="00450E53" w:rsidRPr="006E6B7A" w:rsidRDefault="00450E53" w:rsidP="00450E53">
            <w:r w:rsidRPr="006E6B7A">
              <w:t>За 2013 год департаментом имущественных и земельных отношений направлено 230 уведомлений о взыскании задолженности по арендной плате и пени на сумму 72 593 000 рублей, получено денежных средств от отправленных уведомлений 13 623 000 рублей.  По 354 договорам аренды земельных участков проведена сверка о состоянии взаиморасчетов</w:t>
            </w:r>
            <w:proofErr w:type="gramStart"/>
            <w:r w:rsidRPr="006E6B7A">
              <w:t xml:space="preserve"> ,</w:t>
            </w:r>
            <w:proofErr w:type="gramEnd"/>
            <w:r w:rsidRPr="006E6B7A">
              <w:t xml:space="preserve"> проведено 8 заседаний рабочей группы на которые были приглашены 53 арендатора имеющих задолженность на общую сумму 22 800 000 рублей, по результатам заседаний оплачена задолженность в сумме 4 496 000 рублей.</w:t>
            </w:r>
          </w:p>
        </w:tc>
      </w:tr>
      <w:tr w:rsidR="00477248" w:rsidRPr="006E6B7A" w:rsidTr="00CD6A50">
        <w:trPr>
          <w:trHeight w:val="72"/>
        </w:trPr>
        <w:tc>
          <w:tcPr>
            <w:tcW w:w="2862" w:type="dxa"/>
          </w:tcPr>
          <w:p w:rsidR="0003390F" w:rsidRPr="006E6B7A" w:rsidRDefault="00B70E65" w:rsidP="00E4347F">
            <w:pPr>
              <w:jc w:val="both"/>
            </w:pPr>
            <w:r>
              <w:t>Итого</w:t>
            </w:r>
          </w:p>
        </w:tc>
        <w:tc>
          <w:tcPr>
            <w:tcW w:w="1502" w:type="dxa"/>
          </w:tcPr>
          <w:p w:rsidR="0003390F" w:rsidRPr="006E6B7A" w:rsidRDefault="0003390F" w:rsidP="005A67E6">
            <w:pPr>
              <w:jc w:val="right"/>
            </w:pPr>
          </w:p>
          <w:p w:rsidR="0003390F" w:rsidRPr="006E6B7A" w:rsidRDefault="00755869" w:rsidP="005A67E6">
            <w:pPr>
              <w:jc w:val="right"/>
            </w:pPr>
            <w:r w:rsidRPr="006E6B7A">
              <w:t>140</w:t>
            </w:r>
            <w:r w:rsidR="00CB2452" w:rsidRPr="006E6B7A">
              <w:t> 741 474,64</w:t>
            </w:r>
          </w:p>
        </w:tc>
        <w:tc>
          <w:tcPr>
            <w:tcW w:w="1399" w:type="dxa"/>
          </w:tcPr>
          <w:p w:rsidR="0003390F" w:rsidRPr="006E6B7A" w:rsidRDefault="0003390F" w:rsidP="005A67E6">
            <w:pPr>
              <w:jc w:val="right"/>
            </w:pPr>
          </w:p>
        </w:tc>
        <w:tc>
          <w:tcPr>
            <w:tcW w:w="4268" w:type="dxa"/>
          </w:tcPr>
          <w:p w:rsidR="0003390F" w:rsidRPr="006E6B7A" w:rsidRDefault="0003390F" w:rsidP="00184C45">
            <w:pPr>
              <w:jc w:val="both"/>
            </w:pPr>
          </w:p>
        </w:tc>
      </w:tr>
    </w:tbl>
    <w:p w:rsidR="00477248" w:rsidRPr="001D1A5F" w:rsidRDefault="0047724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8C12C3" w:rsidRPr="006E6B7A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42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показателями 201</w:t>
      </w:r>
      <w:r w:rsidR="00845C1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10F6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увеличение  дебиторской задолженности</w:t>
      </w:r>
      <w:r w:rsidR="008C12C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основном по доходам, получаемым в виде арендной платы за земельные участки и имущество, а также по доходам от продаж</w:t>
      </w:r>
      <w:r w:rsidR="00346B4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участков в целом на </w:t>
      </w:r>
      <w:r w:rsidR="000E426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57 188 057 рублей 16 копеек.</w:t>
      </w:r>
      <w:r w:rsidR="008C12C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4AF7" w:rsidRPr="006E6B7A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снижения данной задолженности, необходимо регулярно проводить анализ полноты и своевременности поступления арендной платы за использование имущества и земельных участков. Также является актуальным расширение применяемых мер, направленных на усиление ответственности арендаторов муниципального имущества, укрепления платежной дисциплины (в частности, мер организационного и обеспечительного характера: проработка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механизма применения обеспечительных схем при заключении договоров аренды, залоговых схем), усиление претензионной работы по взысканию просроченной дебиторской задолженности.</w:t>
      </w:r>
    </w:p>
    <w:p w:rsidR="00274AF7" w:rsidRPr="006E6B7A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90F" w:rsidRPr="006E6B7A" w:rsidRDefault="00465C49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56C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03390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дебиторской задолженности отражена задолженность по доходам  в</w:t>
      </w:r>
      <w:r w:rsidR="00EF7A1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виде административных штрафов и взысканий в доход бюджета, согласно таблице №</w:t>
      </w:r>
      <w:r w:rsidR="00AD013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7A1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0138" w:rsidRPr="006E6B7A" w:rsidRDefault="00AD013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598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</w:t>
      </w:r>
    </w:p>
    <w:tbl>
      <w:tblPr>
        <w:tblStyle w:val="a3"/>
        <w:tblW w:w="9746" w:type="dxa"/>
        <w:tblLayout w:type="fixed"/>
        <w:tblLook w:val="0600"/>
      </w:tblPr>
      <w:tblGrid>
        <w:gridCol w:w="2800"/>
        <w:gridCol w:w="1469"/>
        <w:gridCol w:w="1509"/>
        <w:gridCol w:w="3968"/>
      </w:tblGrid>
      <w:tr w:rsidR="008B1146" w:rsidRPr="006E6B7A" w:rsidTr="003D262D">
        <w:trPr>
          <w:trHeight w:val="866"/>
        </w:trPr>
        <w:tc>
          <w:tcPr>
            <w:tcW w:w="2800" w:type="dxa"/>
            <w:vMerge w:val="restart"/>
          </w:tcPr>
          <w:p w:rsidR="008B1146" w:rsidRPr="006E6B7A" w:rsidRDefault="008B1146" w:rsidP="00184C45">
            <w:pPr>
              <w:spacing w:after="120"/>
              <w:jc w:val="both"/>
            </w:pPr>
          </w:p>
          <w:p w:rsidR="008B1146" w:rsidRPr="006E6B7A" w:rsidRDefault="008B1146" w:rsidP="00184C45">
            <w:pPr>
              <w:spacing w:after="120"/>
              <w:jc w:val="both"/>
            </w:pPr>
          </w:p>
          <w:p w:rsidR="008B1146" w:rsidRPr="006E6B7A" w:rsidRDefault="008B1146" w:rsidP="003D262D">
            <w:pPr>
              <w:spacing w:after="120"/>
              <w:jc w:val="center"/>
            </w:pPr>
            <w:r w:rsidRPr="006E6B7A">
              <w:t>Вид доходов</w:t>
            </w:r>
          </w:p>
        </w:tc>
        <w:tc>
          <w:tcPr>
            <w:tcW w:w="2978" w:type="dxa"/>
            <w:gridSpan w:val="2"/>
          </w:tcPr>
          <w:p w:rsidR="008B1146" w:rsidRPr="006E6B7A" w:rsidRDefault="008B1146" w:rsidP="00184C45">
            <w:pPr>
              <w:spacing w:after="120"/>
              <w:jc w:val="both"/>
            </w:pPr>
            <w:r w:rsidRPr="006E6B7A">
              <w:t xml:space="preserve">Дебиторская задолженность </w:t>
            </w:r>
            <w:proofErr w:type="gramStart"/>
            <w:r w:rsidRPr="006E6B7A">
              <w:t>согласно формы</w:t>
            </w:r>
            <w:proofErr w:type="gramEnd"/>
            <w:r w:rsidRPr="006E6B7A">
              <w:t xml:space="preserve"> 0503169 «Сведения по дебиторской и кредиторской задолженности» </w:t>
            </w:r>
          </w:p>
        </w:tc>
        <w:tc>
          <w:tcPr>
            <w:tcW w:w="3968" w:type="dxa"/>
            <w:vMerge w:val="restart"/>
          </w:tcPr>
          <w:p w:rsidR="008B1146" w:rsidRPr="006E6B7A" w:rsidRDefault="008B1146" w:rsidP="00184C45">
            <w:pPr>
              <w:jc w:val="both"/>
              <w:rPr>
                <w:b/>
                <w:bCs/>
              </w:rPr>
            </w:pPr>
          </w:p>
          <w:p w:rsidR="008B1146" w:rsidRPr="006E6B7A" w:rsidRDefault="008B1146" w:rsidP="00184C45">
            <w:pPr>
              <w:jc w:val="both"/>
              <w:rPr>
                <w:b/>
                <w:bCs/>
              </w:rPr>
            </w:pPr>
          </w:p>
          <w:p w:rsidR="008B1146" w:rsidRPr="006E6B7A" w:rsidRDefault="008B1146" w:rsidP="00184C45">
            <w:pPr>
              <w:jc w:val="both"/>
              <w:rPr>
                <w:b/>
                <w:bCs/>
              </w:rPr>
            </w:pPr>
          </w:p>
          <w:p w:rsidR="008B1146" w:rsidRPr="006E6B7A" w:rsidRDefault="008B1146" w:rsidP="003D262D">
            <w:pPr>
              <w:jc w:val="center"/>
              <w:rPr>
                <w:bCs/>
              </w:rPr>
            </w:pPr>
            <w:r w:rsidRPr="006E6B7A">
              <w:rPr>
                <w:bCs/>
              </w:rPr>
              <w:t>Работа по взысканию задолженности</w:t>
            </w:r>
          </w:p>
          <w:p w:rsidR="008B1146" w:rsidRPr="006E6B7A" w:rsidRDefault="008B1146" w:rsidP="00184C45">
            <w:pPr>
              <w:spacing w:after="120"/>
              <w:jc w:val="both"/>
            </w:pPr>
          </w:p>
        </w:tc>
      </w:tr>
      <w:tr w:rsidR="008B1146" w:rsidRPr="006E6B7A" w:rsidTr="008B1146">
        <w:trPr>
          <w:trHeight w:val="64"/>
        </w:trPr>
        <w:tc>
          <w:tcPr>
            <w:tcW w:w="2800" w:type="dxa"/>
            <w:vMerge/>
          </w:tcPr>
          <w:p w:rsidR="008B1146" w:rsidRPr="006E6B7A" w:rsidRDefault="008B1146" w:rsidP="00184C45">
            <w:pPr>
              <w:jc w:val="both"/>
            </w:pPr>
          </w:p>
        </w:tc>
        <w:tc>
          <w:tcPr>
            <w:tcW w:w="1469" w:type="dxa"/>
          </w:tcPr>
          <w:p w:rsidR="008B1146" w:rsidRPr="006E6B7A" w:rsidRDefault="008B1146" w:rsidP="00184C45">
            <w:pPr>
              <w:jc w:val="both"/>
            </w:pPr>
          </w:p>
          <w:p w:rsidR="008B1146" w:rsidRPr="006E6B7A" w:rsidRDefault="008B1146" w:rsidP="00184C45">
            <w:pPr>
              <w:jc w:val="both"/>
            </w:pPr>
            <w:r w:rsidRPr="006E6B7A">
              <w:t>Всего</w:t>
            </w:r>
          </w:p>
        </w:tc>
        <w:tc>
          <w:tcPr>
            <w:tcW w:w="1509" w:type="dxa"/>
          </w:tcPr>
          <w:p w:rsidR="008B1146" w:rsidRPr="006E6B7A" w:rsidRDefault="008B1146" w:rsidP="00184C45">
            <w:pPr>
              <w:jc w:val="both"/>
            </w:pPr>
            <w:r w:rsidRPr="006E6B7A">
              <w:t xml:space="preserve">в том числе </w:t>
            </w:r>
            <w:proofErr w:type="gramStart"/>
            <w:r w:rsidRPr="006E6B7A">
              <w:t>просроченная</w:t>
            </w:r>
            <w:proofErr w:type="gramEnd"/>
          </w:p>
        </w:tc>
        <w:tc>
          <w:tcPr>
            <w:tcW w:w="3968" w:type="dxa"/>
            <w:vMerge/>
          </w:tcPr>
          <w:p w:rsidR="008B1146" w:rsidRPr="006E6B7A" w:rsidRDefault="008B1146" w:rsidP="00184C45">
            <w:pPr>
              <w:jc w:val="both"/>
            </w:pPr>
          </w:p>
        </w:tc>
      </w:tr>
      <w:tr w:rsidR="00521421" w:rsidRPr="006E6B7A" w:rsidTr="008B1146">
        <w:tc>
          <w:tcPr>
            <w:tcW w:w="2800" w:type="dxa"/>
          </w:tcPr>
          <w:p w:rsidR="0003390F" w:rsidRPr="006E6B7A" w:rsidRDefault="0003390F" w:rsidP="00184C45">
            <w:pPr>
              <w:jc w:val="both"/>
            </w:pPr>
          </w:p>
          <w:p w:rsidR="0003390F" w:rsidRPr="006E6B7A" w:rsidRDefault="00AD0138" w:rsidP="005513C3">
            <w:pPr>
              <w:jc w:val="both"/>
            </w:pPr>
            <w:r w:rsidRPr="006E6B7A">
              <w:t>Административные штрафы</w:t>
            </w:r>
            <w:r w:rsidR="008064B1" w:rsidRPr="006E6B7A">
              <w:t>,</w:t>
            </w:r>
            <w:r w:rsidR="005513C3">
              <w:t xml:space="preserve">  не поступившие по а</w:t>
            </w:r>
            <w:r w:rsidRPr="006E6B7A">
              <w:t>дминистраци</w:t>
            </w:r>
            <w:r w:rsidR="005513C3">
              <w:t>и</w:t>
            </w:r>
            <w:r w:rsidRPr="006E6B7A">
              <w:t xml:space="preserve"> города</w:t>
            </w:r>
            <w:r w:rsidR="005513C3">
              <w:t xml:space="preserve"> </w:t>
            </w:r>
          </w:p>
        </w:tc>
        <w:tc>
          <w:tcPr>
            <w:tcW w:w="1469" w:type="dxa"/>
          </w:tcPr>
          <w:p w:rsidR="0003390F" w:rsidRPr="006E6B7A" w:rsidRDefault="0003390F" w:rsidP="00635EB6">
            <w:pPr>
              <w:jc w:val="right"/>
            </w:pPr>
          </w:p>
          <w:p w:rsidR="008064B1" w:rsidRPr="006E6B7A" w:rsidRDefault="008064B1" w:rsidP="00635EB6">
            <w:pPr>
              <w:jc w:val="right"/>
            </w:pPr>
          </w:p>
          <w:p w:rsidR="0003390F" w:rsidRPr="006E6B7A" w:rsidRDefault="00635EB6" w:rsidP="00635EB6">
            <w:pPr>
              <w:jc w:val="right"/>
            </w:pPr>
            <w:r w:rsidRPr="006E6B7A">
              <w:t>681 973,45</w:t>
            </w:r>
          </w:p>
        </w:tc>
        <w:tc>
          <w:tcPr>
            <w:tcW w:w="1509" w:type="dxa"/>
          </w:tcPr>
          <w:p w:rsidR="0003390F" w:rsidRPr="006E6B7A" w:rsidRDefault="0003390F" w:rsidP="00635EB6">
            <w:pPr>
              <w:jc w:val="right"/>
              <w:rPr>
                <w:color w:val="FF0000"/>
              </w:rPr>
            </w:pPr>
          </w:p>
        </w:tc>
        <w:tc>
          <w:tcPr>
            <w:tcW w:w="3968" w:type="dxa"/>
          </w:tcPr>
          <w:p w:rsidR="0003390F" w:rsidRPr="006E6B7A" w:rsidRDefault="0003390F" w:rsidP="00635EB6">
            <w:pPr>
              <w:jc w:val="both"/>
            </w:pPr>
            <w:r w:rsidRPr="006E6B7A">
              <w:t>Задолженность по  административным штрафам за 2012</w:t>
            </w:r>
            <w:r w:rsidR="00635EB6" w:rsidRPr="006E6B7A">
              <w:t xml:space="preserve"> и 2013 годы</w:t>
            </w:r>
            <w:r w:rsidRPr="006E6B7A">
              <w:t>, в связи с несвоевременной оплатой граждан данных взысканий. Принимаются меры по взысканию задолженно</w:t>
            </w:r>
            <w:r w:rsidR="00C945C5" w:rsidRPr="006E6B7A">
              <w:t xml:space="preserve">сти, </w:t>
            </w:r>
            <w:proofErr w:type="gramStart"/>
            <w:r w:rsidR="00C945C5" w:rsidRPr="006E6B7A">
              <w:t>согласно законодательства</w:t>
            </w:r>
            <w:proofErr w:type="gramEnd"/>
            <w:r w:rsidR="00C945C5" w:rsidRPr="006E6B7A">
              <w:t>.</w:t>
            </w:r>
          </w:p>
        </w:tc>
      </w:tr>
      <w:tr w:rsidR="00FC1A87" w:rsidRPr="006E6B7A" w:rsidTr="008B1146">
        <w:tc>
          <w:tcPr>
            <w:tcW w:w="2800" w:type="dxa"/>
          </w:tcPr>
          <w:p w:rsidR="00FC1A87" w:rsidRPr="006E6B7A" w:rsidRDefault="00335741" w:rsidP="005513C3">
            <w:pPr>
              <w:jc w:val="both"/>
            </w:pPr>
            <w:r w:rsidRPr="006E6B7A">
              <w:t>П</w:t>
            </w:r>
            <w:r w:rsidR="00FC1A87" w:rsidRPr="006E6B7A">
              <w:t>оступ</w:t>
            </w:r>
            <w:r w:rsidRPr="006E6B7A">
              <w:t>ления</w:t>
            </w:r>
            <w:r w:rsidR="00FC1A87" w:rsidRPr="006E6B7A">
              <w:t xml:space="preserve"> </w:t>
            </w:r>
            <w:r w:rsidRPr="006E6B7A">
              <w:t xml:space="preserve"> от взысканий за технадзор</w:t>
            </w:r>
            <w:r w:rsidR="00FC1A87" w:rsidRPr="006E6B7A">
              <w:t xml:space="preserve"> </w:t>
            </w:r>
            <w:r w:rsidR="005513C3">
              <w:t xml:space="preserve">по </w:t>
            </w:r>
            <w:r w:rsidR="00FC1A87" w:rsidRPr="006E6B7A">
              <w:t>департамент</w:t>
            </w:r>
            <w:r w:rsidR="005513C3">
              <w:t>у</w:t>
            </w:r>
            <w:r w:rsidR="00FC1A87" w:rsidRPr="006E6B7A">
              <w:t xml:space="preserve"> </w:t>
            </w:r>
            <w:r w:rsidRPr="006E6B7A">
              <w:t xml:space="preserve"> </w:t>
            </w:r>
            <w:r w:rsidR="00FC1A87" w:rsidRPr="006E6B7A">
              <w:t>градостроительства</w:t>
            </w:r>
          </w:p>
        </w:tc>
        <w:tc>
          <w:tcPr>
            <w:tcW w:w="1469" w:type="dxa"/>
          </w:tcPr>
          <w:p w:rsidR="00903DDA" w:rsidRPr="006E6B7A" w:rsidRDefault="00903DDA" w:rsidP="00635EB6">
            <w:pPr>
              <w:jc w:val="right"/>
            </w:pPr>
          </w:p>
          <w:p w:rsidR="00FC1A87" w:rsidRPr="006E6B7A" w:rsidRDefault="00FC1A87" w:rsidP="00635EB6">
            <w:pPr>
              <w:jc w:val="right"/>
            </w:pPr>
            <w:r w:rsidRPr="006E6B7A">
              <w:t>360 818,57</w:t>
            </w:r>
          </w:p>
        </w:tc>
        <w:tc>
          <w:tcPr>
            <w:tcW w:w="1509" w:type="dxa"/>
          </w:tcPr>
          <w:p w:rsidR="00FC1A87" w:rsidRPr="006E6B7A" w:rsidRDefault="00FC1A87" w:rsidP="00635EB6">
            <w:pPr>
              <w:jc w:val="right"/>
              <w:rPr>
                <w:color w:val="FF0000"/>
              </w:rPr>
            </w:pPr>
          </w:p>
        </w:tc>
        <w:tc>
          <w:tcPr>
            <w:tcW w:w="3968" w:type="dxa"/>
          </w:tcPr>
          <w:p w:rsidR="00FC1A87" w:rsidRPr="006E6B7A" w:rsidRDefault="00335741" w:rsidP="00335741">
            <w:pPr>
              <w:jc w:val="both"/>
            </w:pPr>
            <w:r w:rsidRPr="006E6B7A">
              <w:t xml:space="preserve">Задолженность, подлежащая взысканию за технический надзор СК СОК (счет  выставлен 24.12.2013).  </w:t>
            </w:r>
          </w:p>
        </w:tc>
      </w:tr>
      <w:tr w:rsidR="00521421" w:rsidRPr="006E6B7A" w:rsidTr="008B1146">
        <w:trPr>
          <w:trHeight w:val="225"/>
        </w:trPr>
        <w:tc>
          <w:tcPr>
            <w:tcW w:w="2800" w:type="dxa"/>
          </w:tcPr>
          <w:p w:rsidR="002762DF" w:rsidRPr="006E6B7A" w:rsidRDefault="002762DF" w:rsidP="005513C3">
            <w:pPr>
              <w:jc w:val="both"/>
            </w:pPr>
            <w:r w:rsidRPr="006E6B7A">
              <w:t>Поступления от взыскания излишне выплаченной заработной платы и отпускных</w:t>
            </w:r>
            <w:r w:rsidR="00274AF7" w:rsidRPr="006E6B7A">
              <w:t xml:space="preserve"> </w:t>
            </w:r>
            <w:r w:rsidR="005513C3">
              <w:t>по а</w:t>
            </w:r>
            <w:r w:rsidR="00274AF7" w:rsidRPr="006E6B7A">
              <w:t>дминистраци</w:t>
            </w:r>
            <w:r w:rsidR="005513C3">
              <w:t>и</w:t>
            </w:r>
            <w:r w:rsidR="00274AF7" w:rsidRPr="006E6B7A">
              <w:t xml:space="preserve"> города</w:t>
            </w:r>
          </w:p>
        </w:tc>
        <w:tc>
          <w:tcPr>
            <w:tcW w:w="1469" w:type="dxa"/>
          </w:tcPr>
          <w:p w:rsidR="002762DF" w:rsidRPr="006E6B7A" w:rsidRDefault="002762DF" w:rsidP="00635EB6">
            <w:pPr>
              <w:jc w:val="right"/>
            </w:pPr>
          </w:p>
          <w:p w:rsidR="002762DF" w:rsidRPr="006E6B7A" w:rsidRDefault="002762DF" w:rsidP="00635EB6">
            <w:pPr>
              <w:jc w:val="right"/>
            </w:pPr>
            <w:r w:rsidRPr="006E6B7A">
              <w:t>67 21</w:t>
            </w:r>
            <w:r w:rsidR="00635EB6" w:rsidRPr="006E6B7A">
              <w:t>3</w:t>
            </w:r>
            <w:r w:rsidRPr="006E6B7A">
              <w:t>,</w:t>
            </w:r>
            <w:r w:rsidR="00635EB6" w:rsidRPr="006E6B7A">
              <w:t>98</w:t>
            </w:r>
          </w:p>
        </w:tc>
        <w:tc>
          <w:tcPr>
            <w:tcW w:w="1509" w:type="dxa"/>
          </w:tcPr>
          <w:p w:rsidR="002762DF" w:rsidRPr="006E6B7A" w:rsidRDefault="002762DF" w:rsidP="00635EB6">
            <w:pPr>
              <w:ind w:left="468"/>
              <w:jc w:val="right"/>
            </w:pPr>
          </w:p>
          <w:p w:rsidR="002762DF" w:rsidRPr="006E6B7A" w:rsidRDefault="002762DF" w:rsidP="00635EB6">
            <w:pPr>
              <w:ind w:left="468"/>
              <w:jc w:val="right"/>
            </w:pPr>
            <w:r w:rsidRPr="006E6B7A">
              <w:t>67 214,55</w:t>
            </w:r>
          </w:p>
        </w:tc>
        <w:tc>
          <w:tcPr>
            <w:tcW w:w="3968" w:type="dxa"/>
          </w:tcPr>
          <w:p w:rsidR="002762DF" w:rsidRPr="006E6B7A" w:rsidRDefault="00295F38" w:rsidP="00184C45">
            <w:pPr>
              <w:jc w:val="both"/>
            </w:pPr>
            <w:r w:rsidRPr="006E6B7A">
              <w:t>Задолженность,</w:t>
            </w:r>
            <w:r w:rsidR="005A3EA5" w:rsidRPr="006E6B7A">
              <w:t xml:space="preserve"> подлежащая </w:t>
            </w:r>
            <w:r w:rsidR="007D16AF" w:rsidRPr="006E6B7A">
              <w:t xml:space="preserve"> взысканию</w:t>
            </w:r>
            <w:r w:rsidR="002762DF" w:rsidRPr="006E6B7A">
              <w:t xml:space="preserve">, в связи с предоставлением отпуска авансом и увольнением работника. </w:t>
            </w:r>
          </w:p>
        </w:tc>
      </w:tr>
      <w:tr w:rsidR="00521421" w:rsidRPr="006E6B7A" w:rsidTr="008B1146">
        <w:trPr>
          <w:trHeight w:val="225"/>
        </w:trPr>
        <w:tc>
          <w:tcPr>
            <w:tcW w:w="2800" w:type="dxa"/>
          </w:tcPr>
          <w:p w:rsidR="00635EB6" w:rsidRPr="006E6B7A" w:rsidRDefault="00635EB6" w:rsidP="00450E53">
            <w:pPr>
              <w:jc w:val="both"/>
            </w:pPr>
            <w:r w:rsidRPr="006E6B7A">
              <w:t>Государственная пошлина за совершение действий,  связанных с лицензированием, с проведением аттестации в случаях, если такая аттестация предусмотрена   законодательством Российской Федерации, зачисляемая в бюджеты городских округов</w:t>
            </w:r>
            <w:r w:rsidR="005513C3">
              <w:t xml:space="preserve"> по администрации города</w:t>
            </w:r>
          </w:p>
          <w:p w:rsidR="00AD0138" w:rsidRPr="006E6B7A" w:rsidRDefault="00AD0138" w:rsidP="00184C45">
            <w:pPr>
              <w:jc w:val="both"/>
              <w:rPr>
                <w:color w:val="FF0000"/>
              </w:rPr>
            </w:pPr>
          </w:p>
        </w:tc>
        <w:tc>
          <w:tcPr>
            <w:tcW w:w="1469" w:type="dxa"/>
          </w:tcPr>
          <w:p w:rsidR="00AD0138" w:rsidRPr="006E6B7A" w:rsidRDefault="00AD0138" w:rsidP="00635EB6">
            <w:pPr>
              <w:jc w:val="right"/>
              <w:rPr>
                <w:color w:val="FF0000"/>
              </w:rPr>
            </w:pPr>
          </w:p>
          <w:p w:rsidR="008064B1" w:rsidRPr="006E6B7A" w:rsidRDefault="008064B1" w:rsidP="00635EB6">
            <w:pPr>
              <w:jc w:val="right"/>
              <w:rPr>
                <w:color w:val="FF0000"/>
              </w:rPr>
            </w:pPr>
          </w:p>
          <w:p w:rsidR="008064B1" w:rsidRPr="00D96BA3" w:rsidRDefault="00635EB6" w:rsidP="00635EB6">
            <w:pPr>
              <w:jc w:val="right"/>
            </w:pPr>
            <w:r w:rsidRPr="00D96BA3">
              <w:t>-36 000,00</w:t>
            </w:r>
          </w:p>
        </w:tc>
        <w:tc>
          <w:tcPr>
            <w:tcW w:w="1509" w:type="dxa"/>
          </w:tcPr>
          <w:p w:rsidR="00AD0138" w:rsidRPr="006E6B7A" w:rsidRDefault="00AD0138" w:rsidP="00635EB6">
            <w:pPr>
              <w:ind w:left="468"/>
              <w:jc w:val="right"/>
              <w:rPr>
                <w:color w:val="FF0000"/>
              </w:rPr>
            </w:pPr>
          </w:p>
        </w:tc>
        <w:tc>
          <w:tcPr>
            <w:tcW w:w="3968" w:type="dxa"/>
          </w:tcPr>
          <w:p w:rsidR="00AD0138" w:rsidRPr="006E6B7A" w:rsidRDefault="00635EB6" w:rsidP="00184C45">
            <w:pPr>
              <w:jc w:val="both"/>
              <w:rPr>
                <w:color w:val="000000" w:themeColor="text1"/>
              </w:rPr>
            </w:pPr>
            <w:r w:rsidRPr="006E6B7A">
              <w:rPr>
                <w:color w:val="000000" w:themeColor="text1"/>
              </w:rPr>
              <w:t>Госпошлина за совершение действий, связанных с проведением лицензирования на право торговли алкогольной продукцией</w:t>
            </w:r>
            <w:r w:rsidR="00346B4D" w:rsidRPr="006E6B7A">
              <w:rPr>
                <w:color w:val="000000" w:themeColor="text1"/>
              </w:rPr>
              <w:t>, в связи с ранней оплатой до наступления срока.</w:t>
            </w:r>
          </w:p>
        </w:tc>
      </w:tr>
      <w:tr w:rsidR="0003390F" w:rsidRPr="006E6B7A" w:rsidTr="008B1146">
        <w:trPr>
          <w:trHeight w:val="225"/>
        </w:trPr>
        <w:tc>
          <w:tcPr>
            <w:tcW w:w="2800" w:type="dxa"/>
          </w:tcPr>
          <w:p w:rsidR="0003390F" w:rsidRPr="006E6B7A" w:rsidRDefault="00E4347F" w:rsidP="00E4347F">
            <w:pPr>
              <w:jc w:val="both"/>
            </w:pPr>
            <w:r>
              <w:t>Итого</w:t>
            </w:r>
          </w:p>
        </w:tc>
        <w:tc>
          <w:tcPr>
            <w:tcW w:w="1469" w:type="dxa"/>
          </w:tcPr>
          <w:p w:rsidR="00465C49" w:rsidRPr="006E6B7A" w:rsidRDefault="00465C49" w:rsidP="00635EB6">
            <w:pPr>
              <w:jc w:val="right"/>
            </w:pPr>
          </w:p>
          <w:p w:rsidR="0003390F" w:rsidRPr="006E6B7A" w:rsidRDefault="00FC1A87" w:rsidP="00635EB6">
            <w:pPr>
              <w:jc w:val="right"/>
            </w:pPr>
            <w:r w:rsidRPr="006E6B7A">
              <w:t>1 074 006,00</w:t>
            </w:r>
          </w:p>
        </w:tc>
        <w:tc>
          <w:tcPr>
            <w:tcW w:w="1509" w:type="dxa"/>
          </w:tcPr>
          <w:p w:rsidR="002762DF" w:rsidRPr="006E6B7A" w:rsidRDefault="002762DF" w:rsidP="00635EB6">
            <w:pPr>
              <w:ind w:left="108"/>
              <w:jc w:val="right"/>
            </w:pPr>
          </w:p>
          <w:p w:rsidR="0003390F" w:rsidRPr="006E6B7A" w:rsidRDefault="002762DF" w:rsidP="00635EB6">
            <w:pPr>
              <w:ind w:left="108"/>
              <w:jc w:val="right"/>
            </w:pPr>
            <w:r w:rsidRPr="006E6B7A">
              <w:t>67 214,55</w:t>
            </w:r>
          </w:p>
        </w:tc>
        <w:tc>
          <w:tcPr>
            <w:tcW w:w="3968" w:type="dxa"/>
          </w:tcPr>
          <w:p w:rsidR="0003390F" w:rsidRPr="006E6B7A" w:rsidRDefault="0003390F" w:rsidP="00184C45">
            <w:pPr>
              <w:jc w:val="both"/>
              <w:rPr>
                <w:color w:val="FF0000"/>
              </w:rPr>
            </w:pPr>
          </w:p>
        </w:tc>
      </w:tr>
    </w:tbl>
    <w:p w:rsidR="0003390F" w:rsidRPr="00521421" w:rsidRDefault="0003390F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8D5B8A" w:rsidRPr="006E6B7A" w:rsidRDefault="005D4AA9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r w:rsidRPr="0052142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BC0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сравнении с показателями 201</w:t>
      </w:r>
      <w:r w:rsidR="00845C1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произошло у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меньшение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дебиторской задолженности  по доходам</w:t>
      </w:r>
      <w:r w:rsidR="00BC069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виде административных штрафов и взысканий 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1 937 364 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069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F1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Просроченная  дебиторская задолженность осталась без изменения.</w:t>
      </w:r>
      <w:r w:rsidR="00DF65ED"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8B1146" w:rsidRPr="006E6B7A" w:rsidRDefault="00C945C5" w:rsidP="00963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0E086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отчетности департамент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E086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86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отражены остатки межбюджетных трансфертов Департамента финансов ХМАО-Югры 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224 182 839</w:t>
      </w:r>
      <w:r w:rsidR="002228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8D0B2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копейк</w:t>
      </w:r>
      <w:r w:rsidR="000A506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507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201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507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произошло уменьшение </w:t>
      </w:r>
      <w:r w:rsidR="005D4AA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B114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57 653 729</w:t>
      </w:r>
      <w:r w:rsidR="00D0330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D4AA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AD41E4" w:rsidRPr="006E6B7A" w:rsidRDefault="00AD41E4" w:rsidP="00963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F7" w:rsidRPr="006E6B7A" w:rsidRDefault="005E2E0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предоставленными сведениями о состоянии кредиторской задолженности на 01.01.201</w:t>
      </w:r>
      <w:r w:rsidR="0032552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имеется  задолженность в сумме </w:t>
      </w:r>
      <w:r w:rsidR="00FC1A87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179</w:t>
      </w:r>
      <w:r w:rsidR="00335741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585 212</w:t>
      </w:r>
      <w:r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335741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</w:t>
      </w:r>
      <w:r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просроченн</w:t>
      </w:r>
      <w:r w:rsidR="00693DA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задолженность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 </w:t>
      </w:r>
      <w:r w:rsidR="00295F3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(таблица № 5</w:t>
      </w:r>
      <w:r w:rsidR="0098164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="001D1A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1A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1A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523" w:rsidRPr="006E6B7A" w:rsidRDefault="0098164E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AF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4A3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E0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№5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5"/>
        <w:gridCol w:w="2011"/>
        <w:gridCol w:w="1463"/>
        <w:gridCol w:w="1587"/>
        <w:gridCol w:w="1609"/>
      </w:tblGrid>
      <w:tr w:rsidR="00325523" w:rsidRPr="006E6B7A" w:rsidTr="00C1483A">
        <w:trPr>
          <w:trHeight w:val="353"/>
        </w:trPr>
        <w:tc>
          <w:tcPr>
            <w:tcW w:w="3025" w:type="dxa"/>
            <w:vMerge w:val="restart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6670" w:type="dxa"/>
            <w:gridSpan w:val="4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Кредиторская задолженность </w:t>
            </w:r>
            <w:proofErr w:type="gramStart"/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0503169 «Сведения по дебиторской и кредиторской задолженности»</w:t>
            </w:r>
          </w:p>
        </w:tc>
      </w:tr>
      <w:tr w:rsidR="00325523" w:rsidRPr="006E6B7A" w:rsidTr="00C1483A">
        <w:trPr>
          <w:trHeight w:val="475"/>
        </w:trPr>
        <w:tc>
          <w:tcPr>
            <w:tcW w:w="3025" w:type="dxa"/>
            <w:vMerge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2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3196" w:type="dxa"/>
            <w:gridSpan w:val="2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</w:t>
            </w: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  <w:vMerge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  <w:tc>
          <w:tcPr>
            <w:tcW w:w="1587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Дума города</w:t>
            </w:r>
          </w:p>
        </w:tc>
        <w:tc>
          <w:tcPr>
            <w:tcW w:w="2011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-48 492,27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-117 637,47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2011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-52 670,09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-161 449,09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</w:t>
            </w:r>
          </w:p>
        </w:tc>
        <w:tc>
          <w:tcPr>
            <w:tcW w:w="2011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D1A5F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712,44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D1A5F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858,49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</w:t>
            </w:r>
          </w:p>
        </w:tc>
        <w:tc>
          <w:tcPr>
            <w:tcW w:w="2011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-25 963,23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14 536,47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-278 326,08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-14 053,66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8 105,20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2 804,43</w:t>
            </w:r>
          </w:p>
          <w:p w:rsidR="000E426E" w:rsidRPr="006E6B7A" w:rsidRDefault="000E426E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здравоохранению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252,59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325523" w:rsidP="00903D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физической культуры и спорта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-64 320,61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D1A5F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298,08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градостроительства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5 128 645,39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179 976 089,95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-686 352,39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-411 116,35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ЗАГС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-2 011,76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-975,45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106E" w:rsidRPr="006E6B7A" w:rsidTr="00C1483A">
        <w:trPr>
          <w:trHeight w:val="353"/>
        </w:trPr>
        <w:tc>
          <w:tcPr>
            <w:tcW w:w="3025" w:type="dxa"/>
          </w:tcPr>
          <w:p w:rsidR="00B7106E" w:rsidRPr="006E6B7A" w:rsidRDefault="00B7106E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опеки и попечительства</w:t>
            </w:r>
          </w:p>
        </w:tc>
        <w:tc>
          <w:tcPr>
            <w:tcW w:w="2011" w:type="dxa"/>
          </w:tcPr>
          <w:p w:rsidR="00B7106E" w:rsidRPr="006E6B7A" w:rsidRDefault="00B7106E" w:rsidP="00903D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B7106E" w:rsidRPr="006E6B7A" w:rsidRDefault="00B7106E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7106E" w:rsidRPr="006E6B7A" w:rsidRDefault="00B7106E" w:rsidP="00B710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288 856,97</w:t>
            </w:r>
          </w:p>
        </w:tc>
        <w:tc>
          <w:tcPr>
            <w:tcW w:w="1609" w:type="dxa"/>
          </w:tcPr>
          <w:p w:rsidR="00B7106E" w:rsidRPr="006E6B7A" w:rsidRDefault="00B7106E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25523" w:rsidRPr="006E6B7A" w:rsidTr="00C1483A">
        <w:trPr>
          <w:trHeight w:val="353"/>
        </w:trPr>
        <w:tc>
          <w:tcPr>
            <w:tcW w:w="3025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1" w:type="dxa"/>
          </w:tcPr>
          <w:p w:rsidR="00325523" w:rsidRPr="006E6B7A" w:rsidRDefault="00C1483A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3 981 579,19</w:t>
            </w:r>
          </w:p>
        </w:tc>
        <w:tc>
          <w:tcPr>
            <w:tcW w:w="1463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6E6B7A" w:rsidRDefault="00C867CB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179 585 212,37</w:t>
            </w:r>
          </w:p>
        </w:tc>
        <w:tc>
          <w:tcPr>
            <w:tcW w:w="1609" w:type="dxa"/>
          </w:tcPr>
          <w:p w:rsidR="00325523" w:rsidRPr="006E6B7A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5523" w:rsidRPr="00521421" w:rsidRDefault="00325523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95A9B" w:rsidRPr="00C95A9B" w:rsidRDefault="005E2E07" w:rsidP="00C95A9B">
      <w:pPr>
        <w:tabs>
          <w:tab w:val="left" w:pos="142"/>
        </w:tabs>
        <w:spacing w:after="6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8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F3EB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показателями 201</w:t>
      </w:r>
      <w:r w:rsidR="00C1483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произошло увеличение  кредиторской задолженности   на </w:t>
      </w:r>
      <w:r w:rsidR="00C1483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175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 603 633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A506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FC1A8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5A9B" w:rsidRPr="00C95A9B">
        <w:rPr>
          <w:rFonts w:ascii="Times New Roman" w:hAnsi="Times New Roman" w:cs="Times New Roman"/>
          <w:sz w:val="28"/>
          <w:szCs w:val="28"/>
        </w:rPr>
        <w:t>Согласно отчетности департамента градостроительства причина увеличения в связи с неоплатой ООО «Обстрой» по объекту «</w:t>
      </w:r>
      <w:proofErr w:type="spellStart"/>
      <w:r w:rsidR="00C95A9B" w:rsidRPr="00C95A9B">
        <w:rPr>
          <w:rFonts w:ascii="Times New Roman" w:hAnsi="Times New Roman" w:cs="Times New Roman"/>
          <w:sz w:val="28"/>
          <w:szCs w:val="28"/>
        </w:rPr>
        <w:t>Парково-досуговая</w:t>
      </w:r>
      <w:proofErr w:type="spellEnd"/>
      <w:r w:rsidR="00C95A9B" w:rsidRPr="00C95A9B">
        <w:rPr>
          <w:rFonts w:ascii="Times New Roman" w:hAnsi="Times New Roman" w:cs="Times New Roman"/>
          <w:sz w:val="28"/>
          <w:szCs w:val="28"/>
        </w:rPr>
        <w:t xml:space="preserve"> зона г</w:t>
      </w:r>
      <w:proofErr w:type="gramStart"/>
      <w:r w:rsidR="00C95A9B" w:rsidRPr="00C95A9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C95A9B" w:rsidRPr="00C95A9B">
        <w:rPr>
          <w:rFonts w:ascii="Times New Roman" w:hAnsi="Times New Roman" w:cs="Times New Roman"/>
          <w:sz w:val="28"/>
          <w:szCs w:val="28"/>
        </w:rPr>
        <w:t>ефтеюганска со зданием крытого бассейна» по МК  от 25.04.2013 № 74-0216672/02». Данная задолженность является текущей.</w:t>
      </w:r>
    </w:p>
    <w:p w:rsidR="008D5B8A" w:rsidRPr="006E6B7A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5EB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проверки финансирования и исполнения долгосрочных программ установлено, что общий объем утвержденных бюджетных назначений составил в сумме </w:t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3 905 455 862</w:t>
      </w:r>
      <w:r w:rsidR="002228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исполнено в сумме </w:t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3 023 004 </w:t>
      </w:r>
      <w:r w:rsidR="008259F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2228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85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6A50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8D5B8A"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 </w:t>
      </w:r>
    </w:p>
    <w:p w:rsidR="00DA48D2" w:rsidRPr="006E6B7A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693DA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не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</w:t>
      </w:r>
      <w:r w:rsidR="00693DA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</w:t>
      </w:r>
      <w:r w:rsidR="00295F3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814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отражены в разделе 2.</w:t>
      </w:r>
      <w:r w:rsidR="00317E5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2814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.1 и 2.</w:t>
      </w:r>
      <w:r w:rsidR="00317E5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2814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.2 заключения.</w:t>
      </w:r>
    </w:p>
    <w:p w:rsidR="008D5B8A" w:rsidRPr="006E6B7A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Согласно финансовой отчетности за 201</w:t>
      </w:r>
      <w:r w:rsidR="00B70CB6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проводились мероприятия </w:t>
      </w:r>
      <w:bookmarkStart w:id="0" w:name="_GoBack"/>
      <w:bookmarkEnd w:id="0"/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контроля, </w:t>
      </w:r>
      <w:r w:rsidR="008D0B2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 с требованиями Бюджетного Кодекса Российской Федерации.</w:t>
      </w:r>
    </w:p>
    <w:p w:rsidR="008D0B2E" w:rsidRPr="006E6B7A" w:rsidRDefault="008D0B2E" w:rsidP="008D0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</w:p>
    <w:p w:rsidR="00964A3A" w:rsidRPr="006E6B7A" w:rsidRDefault="00693DAE" w:rsidP="00964A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="000A5061" w:rsidRPr="006E6B7A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Выводы:</w:t>
      </w:r>
    </w:p>
    <w:p w:rsidR="00964A3A" w:rsidRDefault="00964A3A" w:rsidP="00DE16A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1. </w:t>
      </w:r>
      <w:r w:rsidR="00693DAE" w:rsidRPr="006E6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Нарушения бюджетного законодательства Росси</w:t>
      </w:r>
      <w:r w:rsidR="00E434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йской Федерации  не установлены.</w:t>
      </w:r>
    </w:p>
    <w:p w:rsidR="007B39CD" w:rsidRPr="001723D0" w:rsidRDefault="00DE16AC" w:rsidP="007B39CD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2. </w:t>
      </w:r>
      <w:r w:rsidR="00D03E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 w:rsidR="00D03E9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арушения</w:t>
      </w:r>
      <w:r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статьи 15 Положения о бюджетном процессе, а также пункта 1.3. </w:t>
      </w:r>
      <w:r w:rsidRPr="001723D0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3D0">
        <w:rPr>
          <w:rFonts w:ascii="Times New Roman" w:hAnsi="Times New Roman" w:cs="Times New Roman"/>
          <w:sz w:val="28"/>
          <w:szCs w:val="28"/>
        </w:rPr>
        <w:t xml:space="preserve"> </w:t>
      </w:r>
      <w:r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D03E9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градостроительства</w:t>
      </w:r>
      <w:r w:rsidR="007B3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</w:t>
      </w:r>
      <w:r w:rsidR="007B39CD" w:rsidRPr="007B39CD">
        <w:rPr>
          <w:rFonts w:ascii="Times New Roman" w:hAnsi="Times New Roman" w:cs="Times New Roman"/>
          <w:sz w:val="28"/>
          <w:szCs w:val="28"/>
        </w:rPr>
        <w:t xml:space="preserve"> </w:t>
      </w:r>
      <w:r w:rsidR="007B39CD" w:rsidRPr="001723D0">
        <w:rPr>
          <w:rFonts w:ascii="Times New Roman" w:hAnsi="Times New Roman" w:cs="Times New Roman"/>
          <w:sz w:val="28"/>
          <w:szCs w:val="28"/>
        </w:rPr>
        <w:t xml:space="preserve">представленная </w:t>
      </w:r>
      <w:r w:rsidR="007B39CD" w:rsidRPr="00172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отчетность не согласована с департаментом финансов. </w:t>
      </w:r>
    </w:p>
    <w:p w:rsidR="00964A3A" w:rsidRPr="00DE16AC" w:rsidRDefault="00DE16AC" w:rsidP="00DE16A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964A3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внешней проверки бюджетной отчетности главных р</w:t>
      </w:r>
      <w:r w:rsidR="00880B0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аспорядителей бюджетных средств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2013 года выявлены нарушения, допущенные главными распорядителями  бюджетных средств, а именно:</w:t>
      </w:r>
    </w:p>
    <w:p w:rsidR="00964A3A" w:rsidRPr="006E6B7A" w:rsidRDefault="00964A3A" w:rsidP="00DE16A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неэффективное использование бюджетных средств, в виде оплаты судебных издержек, </w:t>
      </w:r>
      <w:r w:rsidR="00E4347F" w:rsidRP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госпошлины по судебным искам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штрафов, пеней, не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доимо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 общую сумму </w:t>
      </w:r>
      <w:r w:rsidR="00E43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1 007 720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 копеек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7465" w:rsidRPr="006E6B7A" w:rsidRDefault="002E7465" w:rsidP="00DE16A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A3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B393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 дебиторской задолженности по доходам, получаемым в виде арендной платы за земельные участки и имущество, а также по доходам от продажи земельных участков в целом на 57 188 057 рублей 16 копеек</w:t>
      </w:r>
      <w:r w:rsidR="000E29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7465" w:rsidRPr="006E6B7A" w:rsidRDefault="00964A3A" w:rsidP="00DE16A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2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</w:t>
      </w:r>
      <w:r w:rsidR="00416D8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</w:t>
      </w:r>
      <w:r w:rsidR="00786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</w:t>
      </w:r>
      <w:r w:rsidR="00416D8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191н</w:t>
      </w:r>
      <w:r w:rsidR="00E21C6B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746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2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выразившиеся</w:t>
      </w:r>
      <w:r w:rsidR="006C7B2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неполном 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неточном </w:t>
      </w:r>
      <w:r w:rsidR="006C7B2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заполнении необходимых реквизитов 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</w:t>
      </w:r>
      <w:r w:rsidR="006C7B2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</w:t>
      </w:r>
      <w:r w:rsidR="006C7B2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отчетности, </w:t>
      </w:r>
      <w:r w:rsidR="00E4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</w:t>
      </w:r>
      <w:r w:rsidR="006C7B2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несогласованности соответствующих форм отчетности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6D8D" w:rsidRPr="006E6B7A" w:rsidRDefault="00416D8D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C6B" w:rsidRPr="006E6B7A" w:rsidRDefault="00E21C6B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721" w:rsidRPr="006E6B7A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53B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53B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3B7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С. А. </w:t>
      </w:r>
      <w:proofErr w:type="spellStart"/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Гичкина</w:t>
      </w:r>
      <w:proofErr w:type="spellEnd"/>
    </w:p>
    <w:sectPr w:rsidR="006F7721" w:rsidRPr="006E6B7A" w:rsidSect="002D5B4D">
      <w:headerReference w:type="even" r:id="rId8"/>
      <w:headerReference w:type="default" r:id="rId9"/>
      <w:pgSz w:w="11906" w:h="16838"/>
      <w:pgMar w:top="719" w:right="849" w:bottom="71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F91" w:rsidRDefault="00182F91">
      <w:pPr>
        <w:spacing w:after="0" w:line="240" w:lineRule="auto"/>
      </w:pPr>
      <w:r>
        <w:separator/>
      </w:r>
    </w:p>
  </w:endnote>
  <w:endnote w:type="continuationSeparator" w:id="0">
    <w:p w:rsidR="00182F91" w:rsidRDefault="0018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F91" w:rsidRDefault="00182F91">
      <w:pPr>
        <w:spacing w:after="0" w:line="240" w:lineRule="auto"/>
      </w:pPr>
      <w:r>
        <w:separator/>
      </w:r>
    </w:p>
  </w:footnote>
  <w:footnote w:type="continuationSeparator" w:id="0">
    <w:p w:rsidR="00182F91" w:rsidRDefault="00182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CB" w:rsidRDefault="0062562E" w:rsidP="00465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13D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3DCB" w:rsidRDefault="00A13DCB" w:rsidP="00465C4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CB" w:rsidRDefault="0062562E" w:rsidP="00465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13D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3EB2">
      <w:rPr>
        <w:rStyle w:val="a6"/>
        <w:noProof/>
      </w:rPr>
      <w:t>9</w:t>
    </w:r>
    <w:r>
      <w:rPr>
        <w:rStyle w:val="a6"/>
      </w:rPr>
      <w:fldChar w:fldCharType="end"/>
    </w:r>
  </w:p>
  <w:p w:rsidR="00A13DCB" w:rsidRDefault="00A13DCB" w:rsidP="00465C49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CB8"/>
    <w:multiLevelType w:val="hybridMultilevel"/>
    <w:tmpl w:val="3DE04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E5CDD"/>
    <w:multiLevelType w:val="hybridMultilevel"/>
    <w:tmpl w:val="8586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E2504"/>
    <w:multiLevelType w:val="hybridMultilevel"/>
    <w:tmpl w:val="8E528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50738"/>
    <w:multiLevelType w:val="hybridMultilevel"/>
    <w:tmpl w:val="2CDC3DD4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D257904"/>
    <w:multiLevelType w:val="hybridMultilevel"/>
    <w:tmpl w:val="CF0CB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F6A90"/>
    <w:multiLevelType w:val="hybridMultilevel"/>
    <w:tmpl w:val="050C19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>
    <w:nsid w:val="11853CB4"/>
    <w:multiLevelType w:val="hybridMultilevel"/>
    <w:tmpl w:val="137E46FE"/>
    <w:lvl w:ilvl="0" w:tplc="041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7">
    <w:nsid w:val="11C86298"/>
    <w:multiLevelType w:val="hybridMultilevel"/>
    <w:tmpl w:val="667E8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A526C"/>
    <w:multiLevelType w:val="hybridMultilevel"/>
    <w:tmpl w:val="EAD23B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72F23F2"/>
    <w:multiLevelType w:val="hybridMultilevel"/>
    <w:tmpl w:val="573AA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6B27"/>
    <w:multiLevelType w:val="hybridMultilevel"/>
    <w:tmpl w:val="5A1EA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6E8B"/>
    <w:multiLevelType w:val="hybridMultilevel"/>
    <w:tmpl w:val="0E5C4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604859"/>
    <w:multiLevelType w:val="hybridMultilevel"/>
    <w:tmpl w:val="7994927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3F684061"/>
    <w:multiLevelType w:val="hybridMultilevel"/>
    <w:tmpl w:val="E1DC497C"/>
    <w:lvl w:ilvl="0" w:tplc="ADE6C7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C3DF0"/>
    <w:multiLevelType w:val="hybridMultilevel"/>
    <w:tmpl w:val="E7BCB02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48F51BF5"/>
    <w:multiLevelType w:val="hybridMultilevel"/>
    <w:tmpl w:val="8416C0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CFE7B50"/>
    <w:multiLevelType w:val="hybridMultilevel"/>
    <w:tmpl w:val="A7ACDE1A"/>
    <w:lvl w:ilvl="0" w:tplc="3E98A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B14EF"/>
    <w:multiLevelType w:val="hybridMultilevel"/>
    <w:tmpl w:val="ADB818E6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8">
    <w:nsid w:val="52C10C6E"/>
    <w:multiLevelType w:val="hybridMultilevel"/>
    <w:tmpl w:val="31C6C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57162"/>
    <w:multiLevelType w:val="hybridMultilevel"/>
    <w:tmpl w:val="0D803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539A9"/>
    <w:multiLevelType w:val="hybridMultilevel"/>
    <w:tmpl w:val="717E9058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1">
    <w:nsid w:val="6B1E2B8A"/>
    <w:multiLevelType w:val="hybridMultilevel"/>
    <w:tmpl w:val="2862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5B58EC"/>
    <w:multiLevelType w:val="hybridMultilevel"/>
    <w:tmpl w:val="122C742A"/>
    <w:lvl w:ilvl="0" w:tplc="2C063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4"/>
  </w:num>
  <w:num w:numId="5">
    <w:abstractNumId w:val="14"/>
  </w:num>
  <w:num w:numId="6">
    <w:abstractNumId w:val="3"/>
  </w:num>
  <w:num w:numId="7">
    <w:abstractNumId w:val="15"/>
  </w:num>
  <w:num w:numId="8">
    <w:abstractNumId w:val="21"/>
  </w:num>
  <w:num w:numId="9">
    <w:abstractNumId w:val="13"/>
  </w:num>
  <w:num w:numId="10">
    <w:abstractNumId w:val="20"/>
  </w:num>
  <w:num w:numId="11">
    <w:abstractNumId w:val="19"/>
  </w:num>
  <w:num w:numId="12">
    <w:abstractNumId w:val="12"/>
  </w:num>
  <w:num w:numId="13">
    <w:abstractNumId w:val="2"/>
  </w:num>
  <w:num w:numId="14">
    <w:abstractNumId w:val="5"/>
  </w:num>
  <w:num w:numId="15">
    <w:abstractNumId w:val="9"/>
  </w:num>
  <w:num w:numId="16">
    <w:abstractNumId w:val="18"/>
  </w:num>
  <w:num w:numId="17">
    <w:abstractNumId w:val="11"/>
  </w:num>
  <w:num w:numId="18">
    <w:abstractNumId w:val="7"/>
  </w:num>
  <w:num w:numId="19">
    <w:abstractNumId w:val="10"/>
  </w:num>
  <w:num w:numId="20">
    <w:abstractNumId w:val="17"/>
  </w:num>
  <w:num w:numId="21">
    <w:abstractNumId w:val="0"/>
  </w:num>
  <w:num w:numId="22">
    <w:abstractNumId w:val="6"/>
  </w:num>
  <w:num w:numId="23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B8A"/>
    <w:rsid w:val="00000973"/>
    <w:rsid w:val="00013983"/>
    <w:rsid w:val="000153B7"/>
    <w:rsid w:val="00017967"/>
    <w:rsid w:val="000224A8"/>
    <w:rsid w:val="00032A8B"/>
    <w:rsid w:val="0003390F"/>
    <w:rsid w:val="00054032"/>
    <w:rsid w:val="000579C1"/>
    <w:rsid w:val="0006544B"/>
    <w:rsid w:val="00067A2E"/>
    <w:rsid w:val="00070C5A"/>
    <w:rsid w:val="000A03E3"/>
    <w:rsid w:val="000A2B03"/>
    <w:rsid w:val="000A5061"/>
    <w:rsid w:val="000D134E"/>
    <w:rsid w:val="000E0861"/>
    <w:rsid w:val="000E2926"/>
    <w:rsid w:val="000E426E"/>
    <w:rsid w:val="00110F6C"/>
    <w:rsid w:val="00111303"/>
    <w:rsid w:val="00116D71"/>
    <w:rsid w:val="001174E8"/>
    <w:rsid w:val="00123A9F"/>
    <w:rsid w:val="00141C49"/>
    <w:rsid w:val="00142980"/>
    <w:rsid w:val="00147BC6"/>
    <w:rsid w:val="00161A9D"/>
    <w:rsid w:val="001723D0"/>
    <w:rsid w:val="001731FF"/>
    <w:rsid w:val="00175C4F"/>
    <w:rsid w:val="00182F91"/>
    <w:rsid w:val="00184C45"/>
    <w:rsid w:val="00196208"/>
    <w:rsid w:val="001D1A5F"/>
    <w:rsid w:val="001E52F9"/>
    <w:rsid w:val="001E7CBD"/>
    <w:rsid w:val="001F0B2C"/>
    <w:rsid w:val="001F3714"/>
    <w:rsid w:val="001F763E"/>
    <w:rsid w:val="002106DA"/>
    <w:rsid w:val="00214AEC"/>
    <w:rsid w:val="0022189D"/>
    <w:rsid w:val="0022285F"/>
    <w:rsid w:val="0023757A"/>
    <w:rsid w:val="002426F1"/>
    <w:rsid w:val="00244A3D"/>
    <w:rsid w:val="00274AF7"/>
    <w:rsid w:val="00274E56"/>
    <w:rsid w:val="002762DF"/>
    <w:rsid w:val="00277AB1"/>
    <w:rsid w:val="00277FDA"/>
    <w:rsid w:val="0028768C"/>
    <w:rsid w:val="00295F38"/>
    <w:rsid w:val="002B3903"/>
    <w:rsid w:val="002B3B46"/>
    <w:rsid w:val="002C6108"/>
    <w:rsid w:val="002C6FF3"/>
    <w:rsid w:val="002D5B4D"/>
    <w:rsid w:val="002E1EAB"/>
    <w:rsid w:val="002E48BA"/>
    <w:rsid w:val="002E6455"/>
    <w:rsid w:val="002E6E96"/>
    <w:rsid w:val="002E7465"/>
    <w:rsid w:val="002F09CB"/>
    <w:rsid w:val="00310C69"/>
    <w:rsid w:val="00315B25"/>
    <w:rsid w:val="00315DBD"/>
    <w:rsid w:val="00317E5C"/>
    <w:rsid w:val="00325523"/>
    <w:rsid w:val="00331734"/>
    <w:rsid w:val="00335741"/>
    <w:rsid w:val="00342FB7"/>
    <w:rsid w:val="00345DE4"/>
    <w:rsid w:val="00346236"/>
    <w:rsid w:val="00346B4D"/>
    <w:rsid w:val="00351BED"/>
    <w:rsid w:val="00365252"/>
    <w:rsid w:val="003700E2"/>
    <w:rsid w:val="00393B97"/>
    <w:rsid w:val="003B72E6"/>
    <w:rsid w:val="003C4001"/>
    <w:rsid w:val="003D262D"/>
    <w:rsid w:val="003E215B"/>
    <w:rsid w:val="003F1E42"/>
    <w:rsid w:val="003F3111"/>
    <w:rsid w:val="003F5E01"/>
    <w:rsid w:val="00416D8D"/>
    <w:rsid w:val="00425B0F"/>
    <w:rsid w:val="00435989"/>
    <w:rsid w:val="00435EBF"/>
    <w:rsid w:val="004375B9"/>
    <w:rsid w:val="0044206B"/>
    <w:rsid w:val="004442A6"/>
    <w:rsid w:val="00444F9A"/>
    <w:rsid w:val="00450E53"/>
    <w:rsid w:val="00465C49"/>
    <w:rsid w:val="0047692E"/>
    <w:rsid w:val="00477248"/>
    <w:rsid w:val="0048112E"/>
    <w:rsid w:val="004B3931"/>
    <w:rsid w:val="004C283F"/>
    <w:rsid w:val="004C683A"/>
    <w:rsid w:val="004E7C5C"/>
    <w:rsid w:val="00505B5B"/>
    <w:rsid w:val="00514DEC"/>
    <w:rsid w:val="005165AE"/>
    <w:rsid w:val="00521421"/>
    <w:rsid w:val="00525707"/>
    <w:rsid w:val="005513C3"/>
    <w:rsid w:val="00586362"/>
    <w:rsid w:val="00596278"/>
    <w:rsid w:val="005A3EA5"/>
    <w:rsid w:val="005A61D7"/>
    <w:rsid w:val="005A67E6"/>
    <w:rsid w:val="005B57B9"/>
    <w:rsid w:val="005C0553"/>
    <w:rsid w:val="005C1472"/>
    <w:rsid w:val="005C1C9D"/>
    <w:rsid w:val="005D144B"/>
    <w:rsid w:val="005D4AA9"/>
    <w:rsid w:val="005D71BC"/>
    <w:rsid w:val="005E2E07"/>
    <w:rsid w:val="005E39BE"/>
    <w:rsid w:val="005F01C5"/>
    <w:rsid w:val="005F3EB2"/>
    <w:rsid w:val="00601599"/>
    <w:rsid w:val="00611EA7"/>
    <w:rsid w:val="00612875"/>
    <w:rsid w:val="00616D32"/>
    <w:rsid w:val="0062562E"/>
    <w:rsid w:val="006276C8"/>
    <w:rsid w:val="00631BA9"/>
    <w:rsid w:val="00634E4D"/>
    <w:rsid w:val="00635EB6"/>
    <w:rsid w:val="00650063"/>
    <w:rsid w:val="0067237D"/>
    <w:rsid w:val="00674209"/>
    <w:rsid w:val="0067473B"/>
    <w:rsid w:val="00683138"/>
    <w:rsid w:val="00687E5E"/>
    <w:rsid w:val="00693DAE"/>
    <w:rsid w:val="006B5308"/>
    <w:rsid w:val="006B5C91"/>
    <w:rsid w:val="006C7B29"/>
    <w:rsid w:val="006D7370"/>
    <w:rsid w:val="006E0B21"/>
    <w:rsid w:val="006E6B7A"/>
    <w:rsid w:val="006F2832"/>
    <w:rsid w:val="006F41C7"/>
    <w:rsid w:val="006F7721"/>
    <w:rsid w:val="00707DF7"/>
    <w:rsid w:val="0071657F"/>
    <w:rsid w:val="007267A7"/>
    <w:rsid w:val="00726B12"/>
    <w:rsid w:val="00726DE5"/>
    <w:rsid w:val="0073104E"/>
    <w:rsid w:val="00734F26"/>
    <w:rsid w:val="00746E44"/>
    <w:rsid w:val="00751698"/>
    <w:rsid w:val="007556CA"/>
    <w:rsid w:val="00755869"/>
    <w:rsid w:val="00771AFA"/>
    <w:rsid w:val="00786267"/>
    <w:rsid w:val="007A1F13"/>
    <w:rsid w:val="007A7B50"/>
    <w:rsid w:val="007B39CD"/>
    <w:rsid w:val="007B7F8D"/>
    <w:rsid w:val="007C4ECC"/>
    <w:rsid w:val="007C671C"/>
    <w:rsid w:val="007C6E1D"/>
    <w:rsid w:val="007D05F1"/>
    <w:rsid w:val="007D16AF"/>
    <w:rsid w:val="007D6C2F"/>
    <w:rsid w:val="007E2E84"/>
    <w:rsid w:val="007E7AD7"/>
    <w:rsid w:val="007F6810"/>
    <w:rsid w:val="008064B1"/>
    <w:rsid w:val="008259FA"/>
    <w:rsid w:val="00827EA4"/>
    <w:rsid w:val="00845C19"/>
    <w:rsid w:val="0086004F"/>
    <w:rsid w:val="00860A11"/>
    <w:rsid w:val="00865374"/>
    <w:rsid w:val="00880B0C"/>
    <w:rsid w:val="0088755D"/>
    <w:rsid w:val="0089348E"/>
    <w:rsid w:val="008B017B"/>
    <w:rsid w:val="008B1146"/>
    <w:rsid w:val="008C0E68"/>
    <w:rsid w:val="008C12C3"/>
    <w:rsid w:val="008C4848"/>
    <w:rsid w:val="008C5ACD"/>
    <w:rsid w:val="008D0B2E"/>
    <w:rsid w:val="008D5B8A"/>
    <w:rsid w:val="008D6C88"/>
    <w:rsid w:val="008E79F2"/>
    <w:rsid w:val="00903A94"/>
    <w:rsid w:val="00903DDA"/>
    <w:rsid w:val="009215A4"/>
    <w:rsid w:val="00921B7D"/>
    <w:rsid w:val="00941F2E"/>
    <w:rsid w:val="00942851"/>
    <w:rsid w:val="00943164"/>
    <w:rsid w:val="00960B84"/>
    <w:rsid w:val="009632E7"/>
    <w:rsid w:val="00964A3A"/>
    <w:rsid w:val="00966066"/>
    <w:rsid w:val="0098164E"/>
    <w:rsid w:val="0099321D"/>
    <w:rsid w:val="009A2962"/>
    <w:rsid w:val="009B54B2"/>
    <w:rsid w:val="009C1740"/>
    <w:rsid w:val="009D6968"/>
    <w:rsid w:val="009E1617"/>
    <w:rsid w:val="009E38B6"/>
    <w:rsid w:val="009F1620"/>
    <w:rsid w:val="00A00896"/>
    <w:rsid w:val="00A05CFB"/>
    <w:rsid w:val="00A06009"/>
    <w:rsid w:val="00A13DCB"/>
    <w:rsid w:val="00A20B08"/>
    <w:rsid w:val="00A46668"/>
    <w:rsid w:val="00A521F4"/>
    <w:rsid w:val="00A679F7"/>
    <w:rsid w:val="00A701DF"/>
    <w:rsid w:val="00A747E1"/>
    <w:rsid w:val="00A82FC5"/>
    <w:rsid w:val="00A94E36"/>
    <w:rsid w:val="00AA0403"/>
    <w:rsid w:val="00AD0138"/>
    <w:rsid w:val="00AD1BE3"/>
    <w:rsid w:val="00AD41E4"/>
    <w:rsid w:val="00AE5CBA"/>
    <w:rsid w:val="00B23A07"/>
    <w:rsid w:val="00B34A3C"/>
    <w:rsid w:val="00B37E85"/>
    <w:rsid w:val="00B477ED"/>
    <w:rsid w:val="00B70CB6"/>
    <w:rsid w:val="00B70E65"/>
    <w:rsid w:val="00B7106E"/>
    <w:rsid w:val="00B760F9"/>
    <w:rsid w:val="00B8101D"/>
    <w:rsid w:val="00B95079"/>
    <w:rsid w:val="00B96AF7"/>
    <w:rsid w:val="00BB45DC"/>
    <w:rsid w:val="00BC069B"/>
    <w:rsid w:val="00BC5D98"/>
    <w:rsid w:val="00BD5028"/>
    <w:rsid w:val="00C054F2"/>
    <w:rsid w:val="00C1483A"/>
    <w:rsid w:val="00C3713A"/>
    <w:rsid w:val="00C51F5F"/>
    <w:rsid w:val="00C75041"/>
    <w:rsid w:val="00C7680B"/>
    <w:rsid w:val="00C867CB"/>
    <w:rsid w:val="00C945C5"/>
    <w:rsid w:val="00C95A9B"/>
    <w:rsid w:val="00CB02AF"/>
    <w:rsid w:val="00CB2452"/>
    <w:rsid w:val="00CD3591"/>
    <w:rsid w:val="00CD3C55"/>
    <w:rsid w:val="00CD67D5"/>
    <w:rsid w:val="00CD6A50"/>
    <w:rsid w:val="00CE313F"/>
    <w:rsid w:val="00CF5785"/>
    <w:rsid w:val="00D0330B"/>
    <w:rsid w:val="00D03E9A"/>
    <w:rsid w:val="00D0573C"/>
    <w:rsid w:val="00D41D65"/>
    <w:rsid w:val="00D53C59"/>
    <w:rsid w:val="00D624F5"/>
    <w:rsid w:val="00D86A94"/>
    <w:rsid w:val="00D86EDB"/>
    <w:rsid w:val="00D9480F"/>
    <w:rsid w:val="00D96BA3"/>
    <w:rsid w:val="00DA48D2"/>
    <w:rsid w:val="00DB5BE7"/>
    <w:rsid w:val="00DC02F5"/>
    <w:rsid w:val="00DE106F"/>
    <w:rsid w:val="00DE16AC"/>
    <w:rsid w:val="00DE56A3"/>
    <w:rsid w:val="00DF5A39"/>
    <w:rsid w:val="00DF65ED"/>
    <w:rsid w:val="00DF6625"/>
    <w:rsid w:val="00E21C6B"/>
    <w:rsid w:val="00E23159"/>
    <w:rsid w:val="00E26AC0"/>
    <w:rsid w:val="00E4347F"/>
    <w:rsid w:val="00E46245"/>
    <w:rsid w:val="00E53C95"/>
    <w:rsid w:val="00E60B45"/>
    <w:rsid w:val="00E66524"/>
    <w:rsid w:val="00E96798"/>
    <w:rsid w:val="00EA4245"/>
    <w:rsid w:val="00EA46F9"/>
    <w:rsid w:val="00EA6ACA"/>
    <w:rsid w:val="00EB0AF0"/>
    <w:rsid w:val="00ED05F3"/>
    <w:rsid w:val="00EE12C6"/>
    <w:rsid w:val="00EF4EE6"/>
    <w:rsid w:val="00EF7A15"/>
    <w:rsid w:val="00F128B0"/>
    <w:rsid w:val="00F2118E"/>
    <w:rsid w:val="00F21276"/>
    <w:rsid w:val="00F27F52"/>
    <w:rsid w:val="00F352A8"/>
    <w:rsid w:val="00F52814"/>
    <w:rsid w:val="00F61239"/>
    <w:rsid w:val="00F8706A"/>
    <w:rsid w:val="00FC1A87"/>
    <w:rsid w:val="00FC411E"/>
    <w:rsid w:val="00FE45EE"/>
    <w:rsid w:val="00FE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D5B8A"/>
  </w:style>
  <w:style w:type="table" w:styleId="a3">
    <w:name w:val="Table Grid"/>
    <w:basedOn w:val="a1"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D5B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8D5B8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D5B8A"/>
  </w:style>
  <w:style w:type="paragraph" w:customStyle="1" w:styleId="a7">
    <w:name w:val="Знак Знак Знак Знак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8D5B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semiHidden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D5B8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8D5B8A"/>
    <w:rPr>
      <w:i/>
      <w:iCs/>
      <w:color w:val="808080"/>
    </w:rPr>
  </w:style>
  <w:style w:type="paragraph" w:styleId="ad">
    <w:name w:val="List Paragraph"/>
    <w:basedOn w:val="a"/>
    <w:uiPriority w:val="34"/>
    <w:qFormat/>
    <w:rsid w:val="00CE3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D5B8A"/>
  </w:style>
  <w:style w:type="table" w:styleId="a3">
    <w:name w:val="Table Grid"/>
    <w:basedOn w:val="a1"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D5B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8D5B8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D5B8A"/>
  </w:style>
  <w:style w:type="paragraph" w:customStyle="1" w:styleId="a7">
    <w:name w:val="Знак Знак Знак Знак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8D5B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semiHidden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D5B8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8D5B8A"/>
    <w:rPr>
      <w:i/>
      <w:iCs/>
      <w:color w:val="808080"/>
    </w:rPr>
  </w:style>
  <w:style w:type="paragraph" w:styleId="ad">
    <w:name w:val="List Paragraph"/>
    <w:basedOn w:val="a"/>
    <w:uiPriority w:val="34"/>
    <w:qFormat/>
    <w:rsid w:val="00CE3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EA7790-21EE-4D7F-AA22-401F24E1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3300</Words>
  <Characters>18811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2014-04-15T03:28:00Z</cp:lastPrinted>
  <dcterms:created xsi:type="dcterms:W3CDTF">2014-04-21T02:38:00Z</dcterms:created>
  <dcterms:modified xsi:type="dcterms:W3CDTF">2014-04-24T03:14:00Z</dcterms:modified>
</cp:coreProperties>
</file>