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444" w:rsidRDefault="000F0444" w:rsidP="000F0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0F0444" w:rsidRDefault="000F0444" w:rsidP="000F0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0F0444" w:rsidRDefault="000F0444" w:rsidP="000F0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0F0444" w:rsidRDefault="000F0444" w:rsidP="000F0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0F0444" w:rsidRDefault="000F0444" w:rsidP="000F0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0F0444" w:rsidRDefault="000F0444" w:rsidP="000F0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0F0444" w:rsidRDefault="000F0444" w:rsidP="000F0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0F0444" w:rsidRDefault="000F0444" w:rsidP="000F0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0F0444" w:rsidRDefault="000F0444" w:rsidP="000F0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0F0444" w:rsidRDefault="000F0444" w:rsidP="000F0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0F0444" w:rsidRPr="00434F47" w:rsidRDefault="000F0444" w:rsidP="000F0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</w:rPr>
      </w:pPr>
      <w:r w:rsidRPr="00434F47">
        <w:rPr>
          <w:rFonts w:ascii="Times New Roman" w:eastAsia="Times New Roman" w:hAnsi="Times New Roman" w:cs="Times New Roman"/>
          <w:sz w:val="48"/>
          <w:szCs w:val="48"/>
        </w:rPr>
        <w:t>Отчет о работ</w:t>
      </w:r>
      <w:r w:rsidR="00D02577">
        <w:rPr>
          <w:rFonts w:ascii="Times New Roman" w:eastAsia="Times New Roman" w:hAnsi="Times New Roman" w:cs="Times New Roman"/>
          <w:sz w:val="48"/>
          <w:szCs w:val="48"/>
        </w:rPr>
        <w:t>е</w:t>
      </w:r>
      <w:r w:rsidRPr="00434F47">
        <w:rPr>
          <w:rFonts w:ascii="Times New Roman" w:eastAsia="Times New Roman" w:hAnsi="Times New Roman" w:cs="Times New Roman"/>
          <w:sz w:val="48"/>
          <w:szCs w:val="48"/>
        </w:rPr>
        <w:t xml:space="preserve"> Счетной палаты </w:t>
      </w:r>
    </w:p>
    <w:p w:rsidR="000F0444" w:rsidRPr="00434F47" w:rsidRDefault="000F0444" w:rsidP="000F0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</w:rPr>
      </w:pPr>
      <w:r w:rsidRPr="00434F47">
        <w:rPr>
          <w:rFonts w:ascii="Times New Roman" w:eastAsia="Times New Roman" w:hAnsi="Times New Roman" w:cs="Times New Roman"/>
          <w:sz w:val="48"/>
          <w:szCs w:val="48"/>
        </w:rPr>
        <w:t>за 201</w:t>
      </w:r>
      <w:r w:rsidR="006E0E6E">
        <w:rPr>
          <w:rFonts w:ascii="Times New Roman" w:eastAsia="Times New Roman" w:hAnsi="Times New Roman" w:cs="Times New Roman"/>
          <w:sz w:val="48"/>
          <w:szCs w:val="48"/>
        </w:rPr>
        <w:t>4</w:t>
      </w:r>
      <w:r w:rsidRPr="00434F47">
        <w:rPr>
          <w:rFonts w:ascii="Times New Roman" w:eastAsia="Times New Roman" w:hAnsi="Times New Roman" w:cs="Times New Roman"/>
          <w:sz w:val="48"/>
          <w:szCs w:val="48"/>
        </w:rPr>
        <w:t xml:space="preserve"> год</w:t>
      </w:r>
    </w:p>
    <w:p w:rsidR="000F0444" w:rsidRPr="00434F47" w:rsidRDefault="000F0444" w:rsidP="000F0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0F0444" w:rsidRPr="006F1D26" w:rsidRDefault="000F0444" w:rsidP="000F0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0F0444" w:rsidRPr="006F1D26" w:rsidRDefault="000F0444" w:rsidP="000F0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0F0444" w:rsidRPr="006F1D26" w:rsidRDefault="000F0444" w:rsidP="000F0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0F0444" w:rsidRPr="006F1D26" w:rsidRDefault="000F0444" w:rsidP="000F0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0F0444" w:rsidRPr="006F1D26" w:rsidRDefault="000F0444" w:rsidP="000F0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0F0444" w:rsidRPr="006F1D26" w:rsidRDefault="000F0444" w:rsidP="000F0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0F0444" w:rsidRPr="006F1D26" w:rsidRDefault="000F0444" w:rsidP="000F0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0F0444" w:rsidRPr="006F1D26" w:rsidRDefault="000F0444" w:rsidP="000F0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0F0444" w:rsidRPr="006F1D26" w:rsidRDefault="000F0444" w:rsidP="000F0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0F0444" w:rsidRPr="006F1D26" w:rsidRDefault="000F0444" w:rsidP="000F0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0F0444" w:rsidRPr="006F1D26" w:rsidRDefault="000F0444" w:rsidP="000F0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0F0444" w:rsidRPr="006F1D26" w:rsidRDefault="000F0444" w:rsidP="000F0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0F0444" w:rsidRPr="006F1D26" w:rsidRDefault="000F0444" w:rsidP="000F0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0F0444" w:rsidRPr="006F1D26" w:rsidRDefault="000F0444" w:rsidP="000F0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0F0444" w:rsidRPr="006F1D26" w:rsidRDefault="000F0444" w:rsidP="000F0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0F0444" w:rsidRDefault="000F0444" w:rsidP="000F0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0F0444" w:rsidRDefault="000F0444" w:rsidP="000F0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0F0444" w:rsidRDefault="000F0444" w:rsidP="000F0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0F0444" w:rsidRDefault="000F0444" w:rsidP="000F0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0F0444" w:rsidRDefault="000F0444" w:rsidP="000F0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0F0444" w:rsidRDefault="000F0444" w:rsidP="000F0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AF5FBB" w:rsidRDefault="00AF5FBB" w:rsidP="000F0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595449" w:rsidRDefault="00595449" w:rsidP="000F0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595449" w:rsidRDefault="00595449" w:rsidP="000F0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595449" w:rsidRDefault="00595449" w:rsidP="000F0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0F0444" w:rsidRDefault="000F0444" w:rsidP="000F0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0F0444" w:rsidRDefault="000F0444" w:rsidP="000F0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B1D15">
        <w:rPr>
          <w:rFonts w:ascii="Times New Roman" w:eastAsia="Times New Roman" w:hAnsi="Times New Roman" w:cs="Times New Roman"/>
          <w:sz w:val="28"/>
          <w:szCs w:val="28"/>
        </w:rPr>
        <w:t>г. Нефтеюганск</w:t>
      </w:r>
    </w:p>
    <w:p w:rsidR="00C774FC" w:rsidRPr="001B1D15" w:rsidRDefault="00C774FC" w:rsidP="000F0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3F4627" w:rsidRDefault="00684C5B" w:rsidP="00684C5B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к решению</w:t>
      </w:r>
    </w:p>
    <w:p w:rsidR="00684C5B" w:rsidRDefault="00684C5B" w:rsidP="00684C5B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Думы города Нефтеюганска</w:t>
      </w:r>
    </w:p>
    <w:p w:rsidR="00684C5B" w:rsidRDefault="00684C5B" w:rsidP="00684C5B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30.04.2015 № 1020-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</w:p>
    <w:p w:rsidR="00684C5B" w:rsidRDefault="00684C5B" w:rsidP="00684C5B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84C5B" w:rsidRDefault="00684C5B" w:rsidP="00684C5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84C5B">
        <w:rPr>
          <w:rFonts w:ascii="Times New Roman" w:eastAsia="Times New Roman" w:hAnsi="Times New Roman" w:cs="Times New Roman"/>
          <w:sz w:val="28"/>
          <w:szCs w:val="28"/>
        </w:rPr>
        <w:t>Отчет о работе Счетной палаты</w:t>
      </w:r>
    </w:p>
    <w:p w:rsidR="00684C5B" w:rsidRDefault="00684C5B" w:rsidP="00684C5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84C5B">
        <w:rPr>
          <w:rFonts w:ascii="Times New Roman" w:eastAsia="Times New Roman" w:hAnsi="Times New Roman" w:cs="Times New Roman"/>
          <w:sz w:val="28"/>
          <w:szCs w:val="28"/>
        </w:rPr>
        <w:t>за 2014 год</w:t>
      </w:r>
    </w:p>
    <w:p w:rsidR="00684C5B" w:rsidRPr="00684C5B" w:rsidRDefault="00684C5B" w:rsidP="00684C5B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D02577" w:rsidRPr="001B1D15" w:rsidRDefault="00D02577" w:rsidP="003F462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B1D15">
        <w:rPr>
          <w:rFonts w:ascii="Times New Roman" w:eastAsia="Times New Roman" w:hAnsi="Times New Roman" w:cs="Times New Roman"/>
          <w:sz w:val="28"/>
          <w:szCs w:val="28"/>
        </w:rPr>
        <w:t>Настоящий отчет о работе Счетной палаты города Нефтеюганска  в 201</w:t>
      </w:r>
      <w:r w:rsidR="00F36027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1B1D15">
        <w:rPr>
          <w:rFonts w:ascii="Times New Roman" w:eastAsia="Times New Roman" w:hAnsi="Times New Roman" w:cs="Times New Roman"/>
          <w:sz w:val="28"/>
          <w:szCs w:val="28"/>
        </w:rPr>
        <w:t xml:space="preserve"> году подготовлен  в соответствии с требованием статьи 19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статьи 20 Положения о Счетной палате города Нефтеюганска, утвержденного решением Думы города Нефтеюганска от 27.09.2011 № 115-</w:t>
      </w:r>
      <w:r w:rsidRPr="001B1D15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Pr="001B1D1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End"/>
    </w:p>
    <w:p w:rsidR="000F0444" w:rsidRDefault="000F0444" w:rsidP="001B1D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4627" w:rsidRDefault="003F4627" w:rsidP="001B1D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0444" w:rsidRPr="0046710B" w:rsidRDefault="00D02577" w:rsidP="001B1D1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671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Раздел 1. О</w:t>
      </w:r>
      <w:r w:rsidR="000F0444" w:rsidRPr="004671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сновные итоги и особенности деятельности Счетной палаты в отчетном году</w:t>
      </w:r>
    </w:p>
    <w:p w:rsidR="00D02577" w:rsidRDefault="00D02577" w:rsidP="001B1D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F4627" w:rsidRDefault="003F4627" w:rsidP="001B1D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A5919" w:rsidRPr="001B1D15" w:rsidRDefault="007A5919" w:rsidP="003F4627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1D15">
        <w:rPr>
          <w:rFonts w:ascii="Times New Roman" w:eastAsia="Times New Roman" w:hAnsi="Times New Roman" w:cs="Times New Roman"/>
          <w:sz w:val="28"/>
          <w:szCs w:val="28"/>
        </w:rPr>
        <w:t>В 201</w:t>
      </w:r>
      <w:r w:rsidR="006E0E6E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1B1D15">
        <w:rPr>
          <w:rFonts w:ascii="Times New Roman" w:eastAsia="Times New Roman" w:hAnsi="Times New Roman" w:cs="Times New Roman"/>
          <w:sz w:val="28"/>
          <w:szCs w:val="28"/>
        </w:rPr>
        <w:t xml:space="preserve"> году деятельность Счетной палаты города Нефтеюганска (далее по тексту – Счетная палата) строилась в соответствии с нормативными правовыми актами Российской Федерации, Ханты-Мансийского автономного округа </w:t>
      </w:r>
      <w:r w:rsidR="005F6D09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1B1D15">
        <w:rPr>
          <w:rFonts w:ascii="Times New Roman" w:eastAsia="Times New Roman" w:hAnsi="Times New Roman" w:cs="Times New Roman"/>
          <w:sz w:val="28"/>
          <w:szCs w:val="28"/>
        </w:rPr>
        <w:t xml:space="preserve"> Югры и муниципальными правовыми актами города Нефтеюганска. </w:t>
      </w:r>
    </w:p>
    <w:p w:rsidR="007A5919" w:rsidRPr="001B1D15" w:rsidRDefault="007A5919" w:rsidP="003F462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1D15">
        <w:rPr>
          <w:rFonts w:ascii="Times New Roman" w:eastAsia="Times New Roman" w:hAnsi="Times New Roman" w:cs="Times New Roman"/>
          <w:sz w:val="28"/>
          <w:szCs w:val="28"/>
        </w:rPr>
        <w:t>Счетная палата осуществляла свою деятельность на основе принципов законности, независим</w:t>
      </w:r>
      <w:r w:rsidR="001F511F" w:rsidRPr="001B1D15">
        <w:rPr>
          <w:rFonts w:ascii="Times New Roman" w:eastAsia="Times New Roman" w:hAnsi="Times New Roman" w:cs="Times New Roman"/>
          <w:sz w:val="28"/>
          <w:szCs w:val="28"/>
        </w:rPr>
        <w:t>ости, объективности, гласности.</w:t>
      </w:r>
    </w:p>
    <w:p w:rsidR="007A5919" w:rsidRPr="001B1D15" w:rsidRDefault="007A5919" w:rsidP="003F462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1D15">
        <w:rPr>
          <w:rFonts w:ascii="Times New Roman" w:eastAsia="Times New Roman" w:hAnsi="Times New Roman" w:cs="Times New Roman"/>
          <w:sz w:val="28"/>
          <w:szCs w:val="28"/>
        </w:rPr>
        <w:t>Приоритетным направлением в деятельности Счетной палаты являлось осуществление комплекса контрольных и экспертно-аналитических мероприятий</w:t>
      </w:r>
      <w:r w:rsidR="00F36027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1B1D15">
        <w:rPr>
          <w:rFonts w:ascii="Times New Roman" w:eastAsia="Times New Roman" w:hAnsi="Times New Roman" w:cs="Times New Roman"/>
          <w:sz w:val="28"/>
          <w:szCs w:val="28"/>
        </w:rPr>
        <w:t xml:space="preserve"> сосредоточенных на проверке законности, обоснованности и результативности (эффективности и экономности) расходования средств бюджета, использования муниципальной собственности, </w:t>
      </w:r>
      <w:r w:rsidRPr="001B1D15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 w:rsidRPr="001B1D15">
        <w:rPr>
          <w:rFonts w:ascii="Times New Roman" w:eastAsia="Times New Roman" w:hAnsi="Times New Roman" w:cs="Times New Roman"/>
          <w:sz w:val="28"/>
          <w:szCs w:val="28"/>
        </w:rPr>
        <w:t>контроле за</w:t>
      </w:r>
      <w:proofErr w:type="gramEnd"/>
      <w:r w:rsidRPr="001B1D15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законодательства </w:t>
      </w:r>
      <w:r w:rsidR="006E0E6E">
        <w:rPr>
          <w:rFonts w:ascii="Times New Roman" w:eastAsia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муниципальных нужд</w:t>
      </w:r>
      <w:r w:rsidRPr="001B1D15"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</w:p>
    <w:p w:rsidR="00D02577" w:rsidRDefault="009E4C7E" w:rsidP="003F462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</w:t>
      </w:r>
      <w:r w:rsidR="00D02577" w:rsidRPr="001B1D15">
        <w:rPr>
          <w:rFonts w:ascii="Times New Roman" w:eastAsia="Times New Roman" w:hAnsi="Times New Roman" w:cs="Times New Roman"/>
          <w:sz w:val="28"/>
          <w:szCs w:val="28"/>
        </w:rPr>
        <w:t>абота Счетной палаты строилась на основе утвержденн</w:t>
      </w:r>
      <w:r w:rsidR="006E0E6E">
        <w:rPr>
          <w:rFonts w:ascii="Times New Roman" w:eastAsia="Times New Roman" w:hAnsi="Times New Roman" w:cs="Times New Roman"/>
          <w:sz w:val="28"/>
          <w:szCs w:val="28"/>
        </w:rPr>
        <w:t>ого</w:t>
      </w:r>
      <w:r w:rsidR="00D02577" w:rsidRPr="001B1D15">
        <w:rPr>
          <w:rFonts w:ascii="Times New Roman" w:eastAsia="Times New Roman" w:hAnsi="Times New Roman" w:cs="Times New Roman"/>
          <w:sz w:val="28"/>
          <w:szCs w:val="28"/>
        </w:rPr>
        <w:t xml:space="preserve"> пр</w:t>
      </w:r>
      <w:r w:rsidR="006E0E6E">
        <w:rPr>
          <w:rFonts w:ascii="Times New Roman" w:eastAsia="Times New Roman" w:hAnsi="Times New Roman" w:cs="Times New Roman"/>
          <w:sz w:val="28"/>
          <w:szCs w:val="28"/>
        </w:rPr>
        <w:t>едседателем плана на 2014</w:t>
      </w:r>
      <w:r w:rsidR="00D02577" w:rsidRPr="001B1D15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BE792C">
        <w:rPr>
          <w:rFonts w:ascii="Times New Roman" w:eastAsia="Times New Roman" w:hAnsi="Times New Roman" w:cs="Times New Roman"/>
          <w:sz w:val="28"/>
          <w:szCs w:val="28"/>
        </w:rPr>
        <w:t xml:space="preserve"> (далее – план работы)</w:t>
      </w:r>
      <w:r w:rsidR="00D02577" w:rsidRPr="001B1D1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54FAD" w:rsidRPr="001B1D15" w:rsidRDefault="00AB421B" w:rsidP="003F4627">
      <w:pPr>
        <w:pStyle w:val="ad"/>
        <w:spacing w:before="120"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421B">
        <w:rPr>
          <w:rFonts w:ascii="Times New Roman" w:eastAsia="Times New Roman" w:hAnsi="Times New Roman" w:cs="Times New Roman"/>
          <w:sz w:val="28"/>
          <w:szCs w:val="28"/>
          <w:lang w:eastAsia="en-US"/>
        </w:rPr>
        <w:t>План работы сформирован исходя из необходимости реализации задач, поставленных перед С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четной палатой</w:t>
      </w:r>
      <w:r w:rsidRPr="00AB421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в соответствии с Бюджетным кодексом Р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оссийской </w:t>
      </w:r>
      <w:r w:rsidRPr="00AB421B">
        <w:rPr>
          <w:rFonts w:ascii="Times New Roman" w:eastAsia="Times New Roman" w:hAnsi="Times New Roman" w:cs="Times New Roman"/>
          <w:sz w:val="28"/>
          <w:szCs w:val="28"/>
          <w:lang w:eastAsia="en-US"/>
        </w:rPr>
        <w:t>Ф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едерации</w:t>
      </w:r>
      <w:r w:rsidRPr="00AB421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и Федеральным законом от 07.02.2011 № 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, с учетом поручений</w:t>
      </w:r>
      <w:r w:rsidRPr="00AB421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депутатов Думы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города</w:t>
      </w:r>
      <w:r w:rsidR="00B61B58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  <w:r w:rsidR="00A54FAD" w:rsidRPr="001B1D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F4627" w:rsidRDefault="003F4627" w:rsidP="003F462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F4627" w:rsidRDefault="003F4627" w:rsidP="003F462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F4627" w:rsidRDefault="003F4627" w:rsidP="003F462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F4627" w:rsidRDefault="003F4627" w:rsidP="003F462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F4627" w:rsidRDefault="003F4627" w:rsidP="003F462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075D" w:rsidRDefault="0021075D" w:rsidP="003F462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EF1027">
        <w:rPr>
          <w:rFonts w:ascii="Times New Roman" w:eastAsia="Times New Roman" w:hAnsi="Times New Roman" w:cs="Times New Roman"/>
          <w:sz w:val="28"/>
          <w:szCs w:val="28"/>
        </w:rPr>
        <w:t>отчетном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году основное внимание Счетной палаты уделялось следующим направлениям: </w:t>
      </w:r>
    </w:p>
    <w:p w:rsidR="0021075D" w:rsidRDefault="00220FF4" w:rsidP="001B1D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oundrect id="_x0000_s1026" style="position:absolute;left:0;text-align:left;margin-left:37.15pt;margin-top:10pt;width:425.95pt;height:29.65pt;z-index:251658240" arcsize="10923f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>
              <w:txbxContent>
                <w:p w:rsidR="0071416B" w:rsidRPr="0021075D" w:rsidRDefault="0071416B" w:rsidP="0021075D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</w:rPr>
                  </w:pPr>
                  <w:proofErr w:type="gramStart"/>
                  <w:r w:rsidRPr="0021075D">
                    <w:rPr>
                      <w:rFonts w:ascii="Times New Roman" w:hAnsi="Times New Roman" w:cs="Times New Roman"/>
                      <w:b/>
                      <w:i/>
                    </w:rPr>
                    <w:t>контрол</w:t>
                  </w:r>
                  <w:r>
                    <w:rPr>
                      <w:rFonts w:ascii="Times New Roman" w:hAnsi="Times New Roman" w:cs="Times New Roman"/>
                      <w:b/>
                      <w:i/>
                    </w:rPr>
                    <w:t>ь</w:t>
                  </w:r>
                  <w:r w:rsidRPr="0021075D">
                    <w:rPr>
                      <w:rFonts w:ascii="Times New Roman" w:hAnsi="Times New Roman" w:cs="Times New Roman"/>
                      <w:b/>
                      <w:i/>
                    </w:rPr>
                    <w:t xml:space="preserve"> за</w:t>
                  </w:r>
                  <w:proofErr w:type="gramEnd"/>
                  <w:r w:rsidRPr="0021075D">
                    <w:rPr>
                      <w:rFonts w:ascii="Times New Roman" w:hAnsi="Times New Roman" w:cs="Times New Roman"/>
                      <w:b/>
                      <w:i/>
                    </w:rPr>
                    <w:t xml:space="preserve"> исполнением бюджета города </w:t>
                  </w:r>
                </w:p>
              </w:txbxContent>
            </v:textbox>
          </v:roundrect>
        </w:pict>
      </w:r>
    </w:p>
    <w:p w:rsidR="0021075D" w:rsidRDefault="0021075D" w:rsidP="001B1D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075D" w:rsidRDefault="00220FF4" w:rsidP="001B1D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oundrect id="_x0000_s1027" style="position:absolute;left:0;text-align:left;margin-left:37.15pt;margin-top:13.7pt;width:425.95pt;height:43.6pt;z-index:251659264" arcsize="10923f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>
              <w:txbxContent>
                <w:p w:rsidR="0071416B" w:rsidRPr="0021075D" w:rsidRDefault="0071416B" w:rsidP="0021075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  <w:i/>
                    </w:rPr>
                    <w:t>к</w:t>
                  </w:r>
                  <w:r w:rsidRPr="0021075D">
                    <w:rPr>
                      <w:rFonts w:ascii="Times New Roman" w:hAnsi="Times New Roman" w:cs="Times New Roman"/>
                      <w:b/>
                      <w:i/>
                    </w:rPr>
                    <w:t>онтроль за</w:t>
                  </w:r>
                  <w:proofErr w:type="gramEnd"/>
                  <w:r w:rsidRPr="0021075D">
                    <w:rPr>
                      <w:rFonts w:ascii="Times New Roman" w:hAnsi="Times New Roman" w:cs="Times New Roman"/>
                      <w:b/>
                      <w:i/>
                    </w:rPr>
                    <w:t xml:space="preserve"> законностью, результативностью (эффективностью и экономностью)</w:t>
                  </w:r>
                  <w:r>
                    <w:rPr>
                      <w:rFonts w:ascii="Times New Roman" w:hAnsi="Times New Roman" w:cs="Times New Roman"/>
                      <w:b/>
                      <w:i/>
                    </w:rPr>
                    <w:t xml:space="preserve"> использования средств бюджета города</w:t>
                  </w:r>
                </w:p>
              </w:txbxContent>
            </v:textbox>
          </v:roundrect>
        </w:pict>
      </w:r>
    </w:p>
    <w:p w:rsidR="0021075D" w:rsidRDefault="0021075D" w:rsidP="001B1D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075D" w:rsidRDefault="0021075D" w:rsidP="001B1D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075D" w:rsidRDefault="00220FF4" w:rsidP="001B1D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oundrect id="_x0000_s1028" style="position:absolute;left:0;text-align:left;margin-left:37.15pt;margin-top:14.45pt;width:425.95pt;height:33.3pt;z-index:251660288" arcsize="10923f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71416B" w:rsidRPr="0021075D" w:rsidRDefault="0071416B" w:rsidP="0021075D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</w:rPr>
                    <w:t xml:space="preserve">внешняя проверка годового отчета об исполнении бюджета города </w:t>
                  </w:r>
                </w:p>
              </w:txbxContent>
            </v:textbox>
          </v:roundrect>
        </w:pict>
      </w:r>
    </w:p>
    <w:p w:rsidR="0021075D" w:rsidRDefault="0021075D" w:rsidP="001B1D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075D" w:rsidRDefault="0021075D" w:rsidP="001B1D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075D" w:rsidRDefault="00220FF4" w:rsidP="001B1D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oundrect id="_x0000_s1029" style="position:absolute;left:0;text-align:left;margin-left:37.15pt;margin-top:6.1pt;width:425.95pt;height:35.1pt;z-index:251661312" arcsize="10923f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>
              <w:txbxContent>
                <w:p w:rsidR="0071416B" w:rsidRPr="0021075D" w:rsidRDefault="0071416B" w:rsidP="0021075D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</w:rPr>
                    <w:t>экспертиза проекта городского бюджета</w:t>
                  </w:r>
                </w:p>
              </w:txbxContent>
            </v:textbox>
          </v:roundrect>
        </w:pict>
      </w:r>
    </w:p>
    <w:p w:rsidR="0021075D" w:rsidRDefault="0021075D" w:rsidP="001B1D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075D" w:rsidRDefault="00220FF4" w:rsidP="001B1D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oundrect id="_x0000_s1030" style="position:absolute;left:0;text-align:left;margin-left:37.15pt;margin-top:15.65pt;width:425.95pt;height:36.3pt;z-index:251662336" arcsize="10923f" fillcolor="#92cddc [1944]" strokecolor="#92cddc [1944]" strokeweight="1pt">
            <v:fill color2="#daeef3 [664]" angle="-45" focus="-50%" type="gradient"/>
            <v:shadow on="t" type="perspective" color="#205867 [1608]" opacity=".5" offset="1pt" offset2="-3pt"/>
            <v:textbox>
              <w:txbxContent>
                <w:p w:rsidR="0071416B" w:rsidRPr="003F4627" w:rsidRDefault="0071416B" w:rsidP="003F4627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  <w:i/>
                    </w:rPr>
                    <w:t>контроль за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i/>
                    </w:rPr>
                    <w:t xml:space="preserve"> соблюдением порядка управления и распоряжения имуществом, находящимся в муниципальной собственности</w:t>
                  </w:r>
                </w:p>
              </w:txbxContent>
            </v:textbox>
          </v:roundrect>
        </w:pict>
      </w:r>
    </w:p>
    <w:p w:rsidR="003F4627" w:rsidRDefault="003F4627" w:rsidP="001B1D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F4627" w:rsidRDefault="003F4627" w:rsidP="001B1D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F4627" w:rsidRDefault="00220FF4" w:rsidP="001B1D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oundrect id="_x0000_s1031" style="position:absolute;left:0;text-align:left;margin-left:37.15pt;margin-top:7.9pt;width:425.95pt;height:37.5pt;z-index:251663360" arcsize="10923f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71416B" w:rsidRPr="003F4627" w:rsidRDefault="0071416B" w:rsidP="003F4627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</w:rPr>
                    <w:t xml:space="preserve">финансово-экономическая экспертиза проектов муниципальных правовых актов в части, касающихся расходных обязательств муниципального образования </w:t>
                  </w:r>
                </w:p>
              </w:txbxContent>
            </v:textbox>
          </v:roundrect>
        </w:pict>
      </w:r>
    </w:p>
    <w:p w:rsidR="003F4627" w:rsidRDefault="003F4627" w:rsidP="001B1D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F4627" w:rsidRDefault="003F4627" w:rsidP="001B1D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F4627" w:rsidRDefault="00220FF4" w:rsidP="001B1D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oundrect id="_x0000_s1032" style="position:absolute;left:0;text-align:left;margin-left:37.15pt;margin-top:2.55pt;width:425.95pt;height:33.9pt;z-index:251664384" arcsize="10923f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>
              <w:txbxContent>
                <w:p w:rsidR="0071416B" w:rsidRPr="003F4627" w:rsidRDefault="0071416B" w:rsidP="003F4627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  <w:b/>
                      <w:i/>
                    </w:rPr>
                    <w:t>финансово-экономическая экспертиза проектов муниципальных программ</w:t>
                  </w:r>
                </w:p>
              </w:txbxContent>
            </v:textbox>
          </v:roundrect>
        </w:pict>
      </w:r>
    </w:p>
    <w:p w:rsidR="003F4627" w:rsidRDefault="003F4627" w:rsidP="001B1D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F4627" w:rsidRDefault="00220FF4" w:rsidP="001B1D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oundrect id="_x0000_s1033" style="position:absolute;left:0;text-align:left;margin-left:37.15pt;margin-top:8.45pt;width:425.95pt;height:38.55pt;z-index:251665408" arcsize="10923f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>
              <w:txbxContent>
                <w:p w:rsidR="0071416B" w:rsidRPr="00877C63" w:rsidRDefault="0071416B" w:rsidP="00877C63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</w:rPr>
                    <w:t xml:space="preserve">подготовка информации о ходе исполнения местного бюджета, о проведенных контрольных и экспертно-аналитических мероприятиях </w:t>
                  </w:r>
                </w:p>
              </w:txbxContent>
            </v:textbox>
          </v:roundrect>
        </w:pict>
      </w:r>
    </w:p>
    <w:p w:rsidR="003F4627" w:rsidRDefault="003F4627" w:rsidP="001B1D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77C63" w:rsidRDefault="00877C63" w:rsidP="001B1D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77C63" w:rsidRDefault="00220FF4" w:rsidP="001B1D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oundrect id="_x0000_s1034" style="position:absolute;left:0;text-align:left;margin-left:37.15pt;margin-top:6.75pt;width:425.95pt;height:40.55pt;z-index:251666432" arcsize="10923f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71416B" w:rsidRPr="00877C63" w:rsidRDefault="0071416B" w:rsidP="00877C63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</w:rPr>
                    <w:t>а</w:t>
                  </w:r>
                  <w:r w:rsidRPr="00877C63">
                    <w:rPr>
                      <w:rFonts w:ascii="Times New Roman" w:hAnsi="Times New Roman" w:cs="Times New Roman"/>
                      <w:b/>
                      <w:i/>
                    </w:rPr>
                    <w:t xml:space="preserve">нализ бюджетного процесса </w:t>
                  </w:r>
                  <w:r>
                    <w:rPr>
                      <w:rFonts w:ascii="Times New Roman" w:hAnsi="Times New Roman" w:cs="Times New Roman"/>
                      <w:b/>
                      <w:i/>
                    </w:rPr>
                    <w:t>в муниципальном образовании и подготовка предложений по его совершенствованию</w:t>
                  </w:r>
                </w:p>
              </w:txbxContent>
            </v:textbox>
          </v:roundrect>
        </w:pict>
      </w:r>
    </w:p>
    <w:p w:rsidR="00877C63" w:rsidRDefault="00877C63" w:rsidP="001B1D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77C63" w:rsidRDefault="00877C63" w:rsidP="001B1D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77C63" w:rsidRDefault="00220FF4" w:rsidP="001B1D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oundrect id="_x0000_s1036" style="position:absolute;left:0;text-align:left;margin-left:37.15pt;margin-top:8.25pt;width:425.95pt;height:42.35pt;z-index:251667456" arcsize="10923f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>
              <w:txbxContent>
                <w:p w:rsidR="0071416B" w:rsidRPr="009E4C7E" w:rsidRDefault="0071416B" w:rsidP="009E4C7E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</w:rPr>
                  </w:pPr>
                  <w:proofErr w:type="gramStart"/>
                  <w:r w:rsidRPr="009E4C7E">
                    <w:rPr>
                      <w:rFonts w:ascii="Times New Roman" w:eastAsia="Times New Roman" w:hAnsi="Times New Roman" w:cs="Times New Roman"/>
                      <w:b/>
                      <w:i/>
                    </w:rPr>
                    <w:t>контрол</w:t>
                  </w:r>
                  <w:r w:rsidR="00F36027">
                    <w:rPr>
                      <w:rFonts w:ascii="Times New Roman" w:eastAsia="Times New Roman" w:hAnsi="Times New Roman" w:cs="Times New Roman"/>
                      <w:b/>
                      <w:i/>
                    </w:rPr>
                    <w:t>ь</w:t>
                  </w:r>
                  <w:r w:rsidRPr="009E4C7E">
                    <w:rPr>
                      <w:rFonts w:ascii="Times New Roman" w:eastAsia="Times New Roman" w:hAnsi="Times New Roman" w:cs="Times New Roman"/>
                      <w:b/>
                      <w:i/>
                    </w:rPr>
                    <w:t xml:space="preserve"> за</w:t>
                  </w:r>
                  <w:proofErr w:type="gramEnd"/>
                  <w:r w:rsidRPr="009E4C7E">
                    <w:rPr>
                      <w:rFonts w:ascii="Times New Roman" w:eastAsia="Times New Roman" w:hAnsi="Times New Roman" w:cs="Times New Roman"/>
                      <w:b/>
                      <w:i/>
                    </w:rPr>
                    <w:t xml:space="preserve"> исполнением законодательства о контрактной системе в сфере закупок товаров, работ, услуг для обеспечения муниципальных нужд</w:t>
                  </w:r>
                </w:p>
              </w:txbxContent>
            </v:textbox>
          </v:roundrect>
        </w:pict>
      </w:r>
    </w:p>
    <w:p w:rsidR="009E4C7E" w:rsidRDefault="009E4C7E" w:rsidP="001B1D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E4C7E" w:rsidRDefault="009E4C7E" w:rsidP="001B1D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E4C7E" w:rsidRDefault="009E4C7E" w:rsidP="001B1D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2577" w:rsidRPr="001B1D15" w:rsidRDefault="00D02577" w:rsidP="001B1D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1D15">
        <w:rPr>
          <w:rFonts w:ascii="Times New Roman" w:eastAsia="Times New Roman" w:hAnsi="Times New Roman" w:cs="Times New Roman"/>
          <w:sz w:val="28"/>
          <w:szCs w:val="28"/>
        </w:rPr>
        <w:t xml:space="preserve">Всего проведено </w:t>
      </w:r>
      <w:r w:rsidR="0083464F" w:rsidRPr="00B61B58">
        <w:rPr>
          <w:rFonts w:ascii="Times New Roman" w:eastAsia="Times New Roman" w:hAnsi="Times New Roman" w:cs="Times New Roman"/>
          <w:b/>
          <w:sz w:val="28"/>
          <w:szCs w:val="28"/>
        </w:rPr>
        <w:t>21</w:t>
      </w:r>
      <w:r w:rsidRPr="001B1D15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 w:rsidR="0083464F">
        <w:rPr>
          <w:rFonts w:ascii="Times New Roman" w:eastAsia="Times New Roman" w:hAnsi="Times New Roman" w:cs="Times New Roman"/>
          <w:sz w:val="28"/>
          <w:szCs w:val="28"/>
        </w:rPr>
        <w:t>контрольн</w:t>
      </w:r>
      <w:r w:rsidR="00877C63">
        <w:rPr>
          <w:rFonts w:ascii="Times New Roman" w:eastAsia="Times New Roman" w:hAnsi="Times New Roman" w:cs="Times New Roman"/>
          <w:sz w:val="28"/>
          <w:szCs w:val="28"/>
        </w:rPr>
        <w:t>ое</w:t>
      </w:r>
      <w:proofErr w:type="gramEnd"/>
      <w:r w:rsidRPr="001B1D15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83464F" w:rsidRPr="00B61B58">
        <w:rPr>
          <w:rFonts w:ascii="Times New Roman" w:eastAsia="Times New Roman" w:hAnsi="Times New Roman" w:cs="Times New Roman"/>
          <w:b/>
          <w:sz w:val="28"/>
          <w:szCs w:val="28"/>
        </w:rPr>
        <w:t>158</w:t>
      </w:r>
      <w:r w:rsidRPr="001B1D15">
        <w:rPr>
          <w:rFonts w:ascii="Times New Roman" w:eastAsia="Times New Roman" w:hAnsi="Times New Roman" w:cs="Times New Roman"/>
          <w:sz w:val="28"/>
          <w:szCs w:val="28"/>
        </w:rPr>
        <w:t xml:space="preserve">  экспертно-аналитических мероприятий.</w:t>
      </w:r>
    </w:p>
    <w:p w:rsidR="00EA5B46" w:rsidRDefault="00AB421B" w:rsidP="001B1D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D6196A">
        <w:rPr>
          <w:rFonts w:ascii="Times New Roman" w:eastAsia="Times New Roman" w:hAnsi="Times New Roman" w:cs="Times New Roman"/>
          <w:sz w:val="28"/>
          <w:szCs w:val="28"/>
        </w:rPr>
        <w:t>бъем проверенных средств составил</w:t>
      </w:r>
      <w:r w:rsidR="007244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6196A" w:rsidRPr="00B61B58">
        <w:rPr>
          <w:rFonts w:ascii="Times New Roman" w:eastAsia="Times New Roman" w:hAnsi="Times New Roman" w:cs="Times New Roman"/>
          <w:b/>
          <w:sz w:val="28"/>
          <w:szCs w:val="28"/>
        </w:rPr>
        <w:t>12 938 042,890</w:t>
      </w:r>
      <w:r w:rsidR="00236080" w:rsidRPr="00B61B5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2440D" w:rsidRPr="00B61B58">
        <w:rPr>
          <w:rFonts w:ascii="Times New Roman" w:eastAsia="Times New Roman" w:hAnsi="Times New Roman" w:cs="Times New Roman"/>
          <w:b/>
          <w:sz w:val="28"/>
          <w:szCs w:val="28"/>
        </w:rPr>
        <w:t>тыс. рублей</w:t>
      </w:r>
      <w:r w:rsidR="00EA5B46">
        <w:rPr>
          <w:rFonts w:ascii="Times New Roman" w:eastAsia="Times New Roman" w:hAnsi="Times New Roman" w:cs="Times New Roman"/>
          <w:sz w:val="28"/>
          <w:szCs w:val="28"/>
        </w:rPr>
        <w:t>, в том числе:</w:t>
      </w:r>
    </w:p>
    <w:p w:rsidR="00A54FAD" w:rsidRDefault="00EA5B46" w:rsidP="001B1D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В</w:t>
      </w:r>
      <w:r w:rsidR="00A54FAD" w:rsidRPr="001B1D15">
        <w:rPr>
          <w:rFonts w:ascii="Times New Roman" w:eastAsia="Times New Roman" w:hAnsi="Times New Roman" w:cs="Times New Roman"/>
          <w:sz w:val="28"/>
          <w:szCs w:val="28"/>
        </w:rPr>
        <w:t xml:space="preserve"> ходе контрольных мероприятий проверено </w:t>
      </w:r>
      <w:r w:rsidR="001D4A46">
        <w:rPr>
          <w:rFonts w:ascii="Times New Roman" w:eastAsia="Times New Roman" w:hAnsi="Times New Roman" w:cs="Times New Roman"/>
          <w:sz w:val="28"/>
          <w:szCs w:val="28"/>
        </w:rPr>
        <w:t>4 357 951,028</w:t>
      </w:r>
      <w:r w:rsidR="00130443" w:rsidRPr="001B1D15">
        <w:rPr>
          <w:rFonts w:ascii="Times New Roman" w:eastAsia="Times New Roman" w:hAnsi="Times New Roman" w:cs="Times New Roman"/>
          <w:sz w:val="28"/>
          <w:szCs w:val="28"/>
        </w:rPr>
        <w:t xml:space="preserve"> тыс. руб</w:t>
      </w:r>
      <w:r w:rsidR="006D57F2" w:rsidRPr="001B1D15">
        <w:rPr>
          <w:rFonts w:ascii="Times New Roman" w:eastAsia="Times New Roman" w:hAnsi="Times New Roman" w:cs="Times New Roman"/>
          <w:sz w:val="28"/>
          <w:szCs w:val="28"/>
        </w:rPr>
        <w:t>лей</w:t>
      </w:r>
      <w:r w:rsidR="00130443" w:rsidRPr="001B1D15">
        <w:rPr>
          <w:rFonts w:ascii="Times New Roman" w:eastAsia="Times New Roman" w:hAnsi="Times New Roman" w:cs="Times New Roman"/>
          <w:sz w:val="28"/>
          <w:szCs w:val="28"/>
        </w:rPr>
        <w:t>.</w:t>
      </w:r>
      <w:r w:rsidR="00A54FAD" w:rsidRPr="001B1D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1505A" w:rsidRDefault="00A54FAD" w:rsidP="0087423F">
      <w:pPr>
        <w:pStyle w:val="a8"/>
        <w:tabs>
          <w:tab w:val="left" w:pos="720"/>
        </w:tabs>
        <w:spacing w:after="0"/>
        <w:ind w:left="0"/>
        <w:jc w:val="both"/>
        <w:rPr>
          <w:sz w:val="28"/>
          <w:szCs w:val="28"/>
          <w:lang w:eastAsia="en-US"/>
        </w:rPr>
      </w:pPr>
      <w:r w:rsidRPr="001B1D15">
        <w:rPr>
          <w:sz w:val="28"/>
          <w:szCs w:val="28"/>
          <w:lang w:eastAsia="en-US"/>
        </w:rPr>
        <w:tab/>
      </w:r>
      <w:r w:rsidR="0072440D">
        <w:rPr>
          <w:sz w:val="28"/>
          <w:szCs w:val="28"/>
          <w:lang w:eastAsia="en-US"/>
        </w:rPr>
        <w:t xml:space="preserve">2. В ходе </w:t>
      </w:r>
      <w:r w:rsidR="001E64F0">
        <w:rPr>
          <w:sz w:val="28"/>
          <w:szCs w:val="28"/>
          <w:lang w:eastAsia="en-US"/>
        </w:rPr>
        <w:t>внешней проверки годового отчета об исполнении бюджета</w:t>
      </w:r>
      <w:r w:rsidR="0072440D">
        <w:rPr>
          <w:sz w:val="28"/>
          <w:szCs w:val="28"/>
          <w:lang w:eastAsia="en-US"/>
        </w:rPr>
        <w:t xml:space="preserve"> проверено </w:t>
      </w:r>
      <w:r w:rsidR="0061505A">
        <w:rPr>
          <w:sz w:val="28"/>
          <w:szCs w:val="28"/>
          <w:lang w:eastAsia="en-US"/>
        </w:rPr>
        <w:t>8 580 091,862</w:t>
      </w:r>
      <w:r w:rsidR="0072440D" w:rsidRPr="0061505A">
        <w:rPr>
          <w:sz w:val="28"/>
          <w:szCs w:val="28"/>
          <w:lang w:eastAsia="en-US"/>
        </w:rPr>
        <w:t xml:space="preserve"> тыс.</w:t>
      </w:r>
      <w:r w:rsidR="0072440D">
        <w:rPr>
          <w:sz w:val="28"/>
          <w:szCs w:val="28"/>
          <w:lang w:eastAsia="en-US"/>
        </w:rPr>
        <w:t xml:space="preserve"> рублей.</w:t>
      </w:r>
    </w:p>
    <w:p w:rsidR="0087423F" w:rsidRPr="0087423F" w:rsidRDefault="0072440D" w:rsidP="0087423F">
      <w:pPr>
        <w:pStyle w:val="a8"/>
        <w:tabs>
          <w:tab w:val="left" w:pos="720"/>
        </w:tabs>
        <w:spacing w:after="0"/>
        <w:ind w:left="0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ab/>
      </w:r>
      <w:r w:rsidR="0087423F" w:rsidRPr="00AB421B">
        <w:rPr>
          <w:sz w:val="28"/>
          <w:szCs w:val="28"/>
          <w:lang w:eastAsia="en-US"/>
        </w:rPr>
        <w:t xml:space="preserve">По результатам работы Счетной палаты общая сумма предотвращенных незаконных и неэффективных расходов за счет бюджета </w:t>
      </w:r>
      <w:r w:rsidR="0087423F" w:rsidRPr="00AB421B">
        <w:rPr>
          <w:sz w:val="28"/>
          <w:szCs w:val="28"/>
          <w:lang w:eastAsia="en-US"/>
        </w:rPr>
        <w:lastRenderedPageBreak/>
        <w:t xml:space="preserve">города составила </w:t>
      </w:r>
      <w:r w:rsidR="00AB421B" w:rsidRPr="00B61B58">
        <w:rPr>
          <w:b/>
          <w:sz w:val="28"/>
          <w:szCs w:val="28"/>
          <w:lang w:eastAsia="en-US"/>
        </w:rPr>
        <w:t>108 808,064</w:t>
      </w:r>
      <w:r w:rsidR="0087423F" w:rsidRPr="00B61B58">
        <w:rPr>
          <w:b/>
          <w:sz w:val="28"/>
          <w:szCs w:val="28"/>
          <w:lang w:eastAsia="en-US"/>
        </w:rPr>
        <w:t xml:space="preserve"> тыс. рублей</w:t>
      </w:r>
      <w:r w:rsidR="00AB421B">
        <w:rPr>
          <w:sz w:val="28"/>
          <w:szCs w:val="28"/>
          <w:lang w:eastAsia="en-US"/>
        </w:rPr>
        <w:t>, что в 12,8 раз больше по сравнению с предыдущим годом.</w:t>
      </w:r>
      <w:r w:rsidR="0087423F" w:rsidRPr="0087423F">
        <w:rPr>
          <w:sz w:val="28"/>
          <w:szCs w:val="28"/>
          <w:lang w:eastAsia="en-US"/>
        </w:rPr>
        <w:t xml:space="preserve"> </w:t>
      </w:r>
    </w:p>
    <w:p w:rsidR="00A54FAD" w:rsidRPr="0087423F" w:rsidRDefault="00FD28F1" w:rsidP="0087423F">
      <w:pPr>
        <w:pStyle w:val="a8"/>
        <w:tabs>
          <w:tab w:val="left" w:pos="720"/>
        </w:tabs>
        <w:spacing w:after="0"/>
        <w:ind w:left="0"/>
        <w:jc w:val="both"/>
        <w:rPr>
          <w:sz w:val="28"/>
          <w:szCs w:val="28"/>
          <w:lang w:eastAsia="en-US"/>
        </w:rPr>
      </w:pPr>
      <w:r w:rsidRPr="0087423F">
        <w:rPr>
          <w:sz w:val="28"/>
          <w:szCs w:val="28"/>
          <w:lang w:eastAsia="en-US"/>
        </w:rPr>
        <w:tab/>
      </w:r>
      <w:r w:rsidR="00A54FAD" w:rsidRPr="0087423F">
        <w:rPr>
          <w:sz w:val="28"/>
          <w:szCs w:val="28"/>
          <w:lang w:eastAsia="en-US"/>
        </w:rPr>
        <w:t>Счетная палата анализир</w:t>
      </w:r>
      <w:r w:rsidR="00F77D20" w:rsidRPr="0087423F">
        <w:rPr>
          <w:sz w:val="28"/>
          <w:szCs w:val="28"/>
          <w:lang w:eastAsia="en-US"/>
        </w:rPr>
        <w:t>овала</w:t>
      </w:r>
      <w:r w:rsidR="00A54FAD" w:rsidRPr="0087423F">
        <w:rPr>
          <w:sz w:val="28"/>
          <w:szCs w:val="28"/>
          <w:lang w:eastAsia="en-US"/>
        </w:rPr>
        <w:t xml:space="preserve"> итоги проводимых контрольных и </w:t>
      </w:r>
      <w:r w:rsidR="006D57F2" w:rsidRPr="0087423F">
        <w:rPr>
          <w:sz w:val="28"/>
          <w:szCs w:val="28"/>
          <w:lang w:eastAsia="en-US"/>
        </w:rPr>
        <w:t>экспертно-</w:t>
      </w:r>
      <w:r w:rsidR="00A54FAD" w:rsidRPr="0087423F">
        <w:rPr>
          <w:sz w:val="28"/>
          <w:szCs w:val="28"/>
          <w:lang w:eastAsia="en-US"/>
        </w:rPr>
        <w:t>аналитических мероприятий</w:t>
      </w:r>
      <w:r w:rsidR="00736915">
        <w:rPr>
          <w:sz w:val="28"/>
          <w:szCs w:val="28"/>
          <w:lang w:eastAsia="en-US"/>
        </w:rPr>
        <w:t xml:space="preserve"> путем контроля </w:t>
      </w:r>
      <w:proofErr w:type="gramStart"/>
      <w:r w:rsidR="00736915">
        <w:rPr>
          <w:sz w:val="28"/>
          <w:szCs w:val="28"/>
          <w:lang w:eastAsia="en-US"/>
        </w:rPr>
        <w:t>за</w:t>
      </w:r>
      <w:proofErr w:type="gramEnd"/>
      <w:r w:rsidR="00A54FAD" w:rsidRPr="0087423F">
        <w:rPr>
          <w:sz w:val="28"/>
          <w:szCs w:val="28"/>
          <w:lang w:eastAsia="en-US"/>
        </w:rPr>
        <w:t>:</w:t>
      </w:r>
    </w:p>
    <w:p w:rsidR="00A54FAD" w:rsidRPr="0087423F" w:rsidRDefault="006D57F2" w:rsidP="0087423F">
      <w:pPr>
        <w:pStyle w:val="a8"/>
        <w:tabs>
          <w:tab w:val="left" w:pos="720"/>
        </w:tabs>
        <w:spacing w:after="0"/>
        <w:ind w:left="0"/>
        <w:jc w:val="both"/>
        <w:rPr>
          <w:sz w:val="28"/>
          <w:szCs w:val="28"/>
          <w:lang w:eastAsia="en-US"/>
        </w:rPr>
      </w:pPr>
      <w:r w:rsidRPr="0087423F">
        <w:rPr>
          <w:sz w:val="28"/>
          <w:szCs w:val="28"/>
          <w:lang w:eastAsia="en-US"/>
        </w:rPr>
        <w:tab/>
      </w:r>
      <w:r w:rsidR="00A54FAD" w:rsidRPr="0087423F">
        <w:rPr>
          <w:sz w:val="28"/>
          <w:szCs w:val="28"/>
          <w:lang w:eastAsia="en-US"/>
        </w:rPr>
        <w:t xml:space="preserve">- </w:t>
      </w:r>
      <w:r w:rsidR="00736915">
        <w:rPr>
          <w:sz w:val="28"/>
          <w:szCs w:val="28"/>
          <w:lang w:eastAsia="en-US"/>
        </w:rPr>
        <w:t>исполнением представлений и предписаний</w:t>
      </w:r>
      <w:r w:rsidR="00A54FAD" w:rsidRPr="0087423F">
        <w:rPr>
          <w:sz w:val="28"/>
          <w:szCs w:val="28"/>
          <w:lang w:eastAsia="en-US"/>
        </w:rPr>
        <w:t>;</w:t>
      </w:r>
    </w:p>
    <w:p w:rsidR="00A54FAD" w:rsidRPr="0087423F" w:rsidRDefault="006D57F2" w:rsidP="0087423F">
      <w:pPr>
        <w:pStyle w:val="a8"/>
        <w:tabs>
          <w:tab w:val="left" w:pos="720"/>
        </w:tabs>
        <w:spacing w:after="0"/>
        <w:ind w:left="0"/>
        <w:jc w:val="both"/>
        <w:rPr>
          <w:sz w:val="28"/>
          <w:szCs w:val="28"/>
          <w:lang w:eastAsia="en-US"/>
        </w:rPr>
      </w:pPr>
      <w:r w:rsidRPr="0087423F">
        <w:rPr>
          <w:sz w:val="28"/>
          <w:szCs w:val="28"/>
          <w:lang w:eastAsia="en-US"/>
        </w:rPr>
        <w:tab/>
      </w:r>
      <w:r w:rsidR="00A54FAD" w:rsidRPr="0087423F">
        <w:rPr>
          <w:sz w:val="28"/>
          <w:szCs w:val="28"/>
          <w:lang w:eastAsia="en-US"/>
        </w:rPr>
        <w:t>-</w:t>
      </w:r>
      <w:r w:rsidRPr="0087423F">
        <w:rPr>
          <w:sz w:val="28"/>
          <w:szCs w:val="28"/>
          <w:lang w:eastAsia="en-US"/>
        </w:rPr>
        <w:t xml:space="preserve"> </w:t>
      </w:r>
      <w:r w:rsidR="00736915">
        <w:rPr>
          <w:sz w:val="28"/>
          <w:szCs w:val="28"/>
          <w:lang w:eastAsia="en-US"/>
        </w:rPr>
        <w:t>исполнением</w:t>
      </w:r>
      <w:r w:rsidRPr="0087423F">
        <w:rPr>
          <w:sz w:val="28"/>
          <w:szCs w:val="28"/>
          <w:lang w:eastAsia="en-US"/>
        </w:rPr>
        <w:t xml:space="preserve"> рекомендаций</w:t>
      </w:r>
      <w:r w:rsidR="00A54FAD" w:rsidRPr="0087423F">
        <w:rPr>
          <w:sz w:val="28"/>
          <w:szCs w:val="28"/>
          <w:lang w:eastAsia="en-US"/>
        </w:rPr>
        <w:t>,</w:t>
      </w:r>
      <w:r w:rsidRPr="0087423F">
        <w:rPr>
          <w:sz w:val="28"/>
          <w:szCs w:val="28"/>
          <w:lang w:eastAsia="en-US"/>
        </w:rPr>
        <w:t xml:space="preserve"> содержащихся в заключениях, составленных по итогам экспертно-аналитических мероприятий, при принятии соответствующих муниципальных правовых актов</w:t>
      </w:r>
      <w:r w:rsidR="00A54FAD" w:rsidRPr="0087423F">
        <w:rPr>
          <w:sz w:val="28"/>
          <w:szCs w:val="28"/>
          <w:lang w:eastAsia="en-US"/>
        </w:rPr>
        <w:t xml:space="preserve"> города.</w:t>
      </w:r>
    </w:p>
    <w:p w:rsidR="006E1A1A" w:rsidRPr="001B1D15" w:rsidRDefault="006E1A1A" w:rsidP="006E1A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1D15">
        <w:rPr>
          <w:rFonts w:ascii="Times New Roman" w:eastAsia="Times New Roman" w:hAnsi="Times New Roman" w:cs="Times New Roman"/>
          <w:sz w:val="28"/>
          <w:szCs w:val="28"/>
        </w:rPr>
        <w:t>Информация о результатах контрольных и экспертно-аналитических мероприятий в течение года доводил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B1D15">
        <w:rPr>
          <w:rFonts w:ascii="Times New Roman" w:eastAsia="Times New Roman" w:hAnsi="Times New Roman" w:cs="Times New Roman"/>
          <w:sz w:val="28"/>
          <w:szCs w:val="28"/>
        </w:rPr>
        <w:t>сь до главы города, Думы города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1B1D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главы администрации города, а также размещалась на официальном сайте органов местного самоуправления города Нефтеюганска</w:t>
      </w:r>
      <w:r w:rsidRPr="001B1D1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1B1D15" w:rsidRPr="0087423F" w:rsidRDefault="001B1D15" w:rsidP="0087423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F0444" w:rsidRDefault="00D02577" w:rsidP="00D02577">
      <w:pPr>
        <w:spacing w:after="0" w:line="365" w:lineRule="atLeas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BE792C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Раздел 2. Контрольная деятельность</w:t>
      </w:r>
    </w:p>
    <w:p w:rsidR="001B1D15" w:rsidRDefault="001B1D15" w:rsidP="00D02577">
      <w:pPr>
        <w:spacing w:after="0" w:line="365" w:lineRule="atLeas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136B16" w:rsidRDefault="00BE792C" w:rsidP="00FE2C0D">
      <w:pPr>
        <w:spacing w:after="0" w:line="365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отчетном году проведен</w:t>
      </w:r>
      <w:r w:rsidR="00615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21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</w:t>
      </w:r>
      <w:r w:rsidR="00615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ое мероприятие</w:t>
      </w:r>
      <w:r w:rsidR="007202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202FD" w:rsidRDefault="0071416B" w:rsidP="007202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7202FD" w:rsidRPr="001B1D15">
        <w:rPr>
          <w:rFonts w:ascii="Times New Roman" w:eastAsia="Times New Roman" w:hAnsi="Times New Roman" w:cs="Times New Roman"/>
          <w:sz w:val="28"/>
          <w:szCs w:val="28"/>
        </w:rPr>
        <w:t>бъектов контроля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202FD" w:rsidRPr="001B1D15">
        <w:rPr>
          <w:rFonts w:ascii="Times New Roman" w:eastAsia="Times New Roman" w:hAnsi="Times New Roman" w:cs="Times New Roman"/>
          <w:sz w:val="28"/>
          <w:szCs w:val="28"/>
        </w:rPr>
        <w:t>в отчетном году было 4</w:t>
      </w:r>
      <w:r w:rsidR="007202FD">
        <w:rPr>
          <w:rFonts w:ascii="Times New Roman" w:eastAsia="Times New Roman" w:hAnsi="Times New Roman" w:cs="Times New Roman"/>
          <w:sz w:val="28"/>
          <w:szCs w:val="28"/>
        </w:rPr>
        <w:t>8</w:t>
      </w:r>
      <w:r w:rsidR="007202FD" w:rsidRPr="001B1D15">
        <w:rPr>
          <w:rFonts w:ascii="Times New Roman" w:hAnsi="Times New Roman"/>
          <w:sz w:val="28"/>
          <w:szCs w:val="28"/>
        </w:rPr>
        <w:t>.</w:t>
      </w:r>
      <w:r w:rsidR="007202FD">
        <w:rPr>
          <w:rFonts w:ascii="Times New Roman" w:hAnsi="Times New Roman"/>
          <w:sz w:val="28"/>
          <w:szCs w:val="28"/>
        </w:rPr>
        <w:t xml:space="preserve"> </w:t>
      </w:r>
    </w:p>
    <w:p w:rsidR="00953D01" w:rsidRDefault="00953D01" w:rsidP="00953D0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3D01">
        <w:rPr>
          <w:rFonts w:ascii="Times New Roman" w:hAnsi="Times New Roman" w:cs="Times New Roman"/>
          <w:sz w:val="28"/>
          <w:szCs w:val="28"/>
        </w:rPr>
        <w:t>В 2014 году Счетной палатой проверено сре</w:t>
      </w:r>
      <w:proofErr w:type="gramStart"/>
      <w:r w:rsidRPr="00953D01">
        <w:rPr>
          <w:rFonts w:ascii="Times New Roman" w:hAnsi="Times New Roman" w:cs="Times New Roman"/>
          <w:sz w:val="28"/>
          <w:szCs w:val="28"/>
        </w:rPr>
        <w:t>дств в р</w:t>
      </w:r>
      <w:proofErr w:type="gramEnd"/>
      <w:r w:rsidRPr="00953D01">
        <w:rPr>
          <w:rFonts w:ascii="Times New Roman" w:hAnsi="Times New Roman" w:cs="Times New Roman"/>
          <w:sz w:val="28"/>
          <w:szCs w:val="28"/>
        </w:rPr>
        <w:t xml:space="preserve">азмере </w:t>
      </w:r>
      <w:r w:rsidR="006E1A1A">
        <w:rPr>
          <w:rFonts w:ascii="Times New Roman" w:hAnsi="Times New Roman" w:cs="Times New Roman"/>
          <w:b/>
          <w:sz w:val="28"/>
          <w:szCs w:val="28"/>
        </w:rPr>
        <w:t>4 357 951,028</w:t>
      </w:r>
      <w:r w:rsidRPr="00953D01">
        <w:rPr>
          <w:rFonts w:ascii="Times New Roman" w:hAnsi="Times New Roman" w:cs="Times New Roman"/>
          <w:b/>
          <w:sz w:val="28"/>
          <w:szCs w:val="28"/>
        </w:rPr>
        <w:t xml:space="preserve">  тыс. руб</w:t>
      </w:r>
      <w:r w:rsidR="006E1A1A">
        <w:rPr>
          <w:rFonts w:ascii="Times New Roman" w:hAnsi="Times New Roman" w:cs="Times New Roman"/>
          <w:b/>
          <w:sz w:val="28"/>
          <w:szCs w:val="28"/>
        </w:rPr>
        <w:t>лей</w:t>
      </w:r>
      <w:r w:rsidRPr="00953D01">
        <w:rPr>
          <w:rFonts w:ascii="Times New Roman" w:hAnsi="Times New Roman" w:cs="Times New Roman"/>
          <w:sz w:val="28"/>
          <w:szCs w:val="28"/>
        </w:rPr>
        <w:t xml:space="preserve">, из которых денежные средства составили </w:t>
      </w:r>
      <w:r w:rsidR="006E1A1A">
        <w:rPr>
          <w:rFonts w:ascii="Times New Roman" w:hAnsi="Times New Roman" w:cs="Times New Roman"/>
          <w:sz w:val="28"/>
          <w:szCs w:val="28"/>
        </w:rPr>
        <w:t>4 147 360,318</w:t>
      </w:r>
      <w:r w:rsidRPr="00953D01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6E1A1A">
        <w:rPr>
          <w:rFonts w:ascii="Times New Roman" w:hAnsi="Times New Roman" w:cs="Times New Roman"/>
          <w:sz w:val="28"/>
          <w:szCs w:val="28"/>
        </w:rPr>
        <w:t>лей</w:t>
      </w:r>
      <w:r w:rsidRPr="00953D01">
        <w:rPr>
          <w:rFonts w:ascii="Times New Roman" w:hAnsi="Times New Roman" w:cs="Times New Roman"/>
          <w:sz w:val="28"/>
          <w:szCs w:val="28"/>
        </w:rPr>
        <w:t>. (</w:t>
      </w:r>
      <w:r w:rsidR="006E1A1A">
        <w:rPr>
          <w:rFonts w:ascii="Times New Roman" w:hAnsi="Times New Roman" w:cs="Times New Roman"/>
          <w:sz w:val="28"/>
          <w:szCs w:val="28"/>
        </w:rPr>
        <w:t>95</w:t>
      </w:r>
      <w:r w:rsidRPr="00953D01">
        <w:rPr>
          <w:rFonts w:ascii="Times New Roman" w:hAnsi="Times New Roman" w:cs="Times New Roman"/>
          <w:sz w:val="28"/>
          <w:szCs w:val="28"/>
        </w:rPr>
        <w:t xml:space="preserve">%), </w:t>
      </w:r>
      <w:r w:rsidR="006E1A1A">
        <w:rPr>
          <w:rFonts w:ascii="Times New Roman" w:hAnsi="Times New Roman" w:cs="Times New Roman"/>
          <w:sz w:val="28"/>
          <w:szCs w:val="28"/>
        </w:rPr>
        <w:t xml:space="preserve">балансовая </w:t>
      </w:r>
      <w:r w:rsidRPr="00953D01">
        <w:rPr>
          <w:rFonts w:ascii="Times New Roman" w:hAnsi="Times New Roman" w:cs="Times New Roman"/>
          <w:sz w:val="28"/>
          <w:szCs w:val="28"/>
        </w:rPr>
        <w:t xml:space="preserve">стоимость муниципального имущества – </w:t>
      </w:r>
      <w:r w:rsidR="006E1A1A">
        <w:rPr>
          <w:rFonts w:ascii="Times New Roman" w:hAnsi="Times New Roman" w:cs="Times New Roman"/>
          <w:sz w:val="28"/>
          <w:szCs w:val="28"/>
        </w:rPr>
        <w:t>210 590,710</w:t>
      </w:r>
      <w:r w:rsidRPr="00953D01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6E1A1A">
        <w:rPr>
          <w:rFonts w:ascii="Times New Roman" w:hAnsi="Times New Roman" w:cs="Times New Roman"/>
          <w:sz w:val="28"/>
          <w:szCs w:val="28"/>
        </w:rPr>
        <w:t>лей</w:t>
      </w:r>
      <w:r w:rsidRPr="00953D01">
        <w:rPr>
          <w:rFonts w:ascii="Times New Roman" w:hAnsi="Times New Roman" w:cs="Times New Roman"/>
          <w:sz w:val="28"/>
          <w:szCs w:val="28"/>
        </w:rPr>
        <w:t>.</w:t>
      </w:r>
    </w:p>
    <w:p w:rsidR="0071416B" w:rsidRDefault="0071416B" w:rsidP="007141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Динамика объемов бюджетных средств, проверенных Счетной палатой в ходе контрольных мероприятий за последние пять лет, представлена в диаграмме № 1.</w:t>
      </w:r>
    </w:p>
    <w:p w:rsidR="0071416B" w:rsidRDefault="0071416B" w:rsidP="0071416B">
      <w:pPr>
        <w:pStyle w:val="a8"/>
        <w:tabs>
          <w:tab w:val="left" w:pos="720"/>
        </w:tabs>
        <w:spacing w:after="0"/>
        <w:ind w:left="0"/>
        <w:jc w:val="right"/>
        <w:rPr>
          <w:szCs w:val="24"/>
          <w:lang w:eastAsia="en-US"/>
        </w:rPr>
      </w:pPr>
      <w:r w:rsidRPr="001B1D15">
        <w:rPr>
          <w:szCs w:val="24"/>
          <w:lang w:eastAsia="en-US"/>
        </w:rPr>
        <w:t xml:space="preserve">Диаграмма № </w:t>
      </w:r>
      <w:r>
        <w:rPr>
          <w:szCs w:val="24"/>
          <w:lang w:eastAsia="en-US"/>
        </w:rPr>
        <w:t>1</w:t>
      </w:r>
    </w:p>
    <w:p w:rsidR="009E4C7E" w:rsidRDefault="009E4C7E" w:rsidP="00953D0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E4C7E" w:rsidRPr="00953D01" w:rsidRDefault="009E4C7E" w:rsidP="00953D0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5486720" cy="3204242"/>
            <wp:effectExtent l="19050" t="0" r="18730" b="0"/>
            <wp:wrapSquare wrapText="bothSides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r w:rsidR="0071416B"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1E64F0" w:rsidRPr="001B1D15" w:rsidRDefault="001E64F0" w:rsidP="001E64F0">
      <w:pPr>
        <w:pStyle w:val="a8"/>
        <w:tabs>
          <w:tab w:val="left" w:pos="720"/>
        </w:tabs>
        <w:spacing w:after="0"/>
        <w:ind w:left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  <w:r w:rsidRPr="001B1D15">
        <w:rPr>
          <w:sz w:val="28"/>
          <w:szCs w:val="28"/>
          <w:lang w:eastAsia="en-US"/>
        </w:rPr>
        <w:t xml:space="preserve">Объем выявленных </w:t>
      </w:r>
      <w:r>
        <w:rPr>
          <w:sz w:val="28"/>
          <w:szCs w:val="28"/>
          <w:lang w:eastAsia="en-US"/>
        </w:rPr>
        <w:t xml:space="preserve">в 2014 году </w:t>
      </w:r>
      <w:r w:rsidRPr="001B1D15">
        <w:rPr>
          <w:sz w:val="28"/>
          <w:szCs w:val="28"/>
          <w:lang w:eastAsia="en-US"/>
        </w:rPr>
        <w:t xml:space="preserve">нарушений, возможных к отражению в суммарном выражении, составил </w:t>
      </w:r>
      <w:r w:rsidRPr="00B61B58">
        <w:rPr>
          <w:b/>
          <w:sz w:val="28"/>
          <w:szCs w:val="28"/>
          <w:lang w:eastAsia="en-US"/>
        </w:rPr>
        <w:t>1 880 509,490 тыс. рублей</w:t>
      </w:r>
      <w:r w:rsidRPr="001B1D15">
        <w:rPr>
          <w:sz w:val="28"/>
          <w:szCs w:val="28"/>
          <w:lang w:eastAsia="en-US"/>
        </w:rPr>
        <w:t>, в том числе:</w:t>
      </w:r>
    </w:p>
    <w:p w:rsidR="001E64F0" w:rsidRPr="001B1D15" w:rsidRDefault="001E64F0" w:rsidP="001E64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1D1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нецелевое использование средств бюджета – </w:t>
      </w:r>
      <w:r>
        <w:rPr>
          <w:rFonts w:ascii="Times New Roman" w:eastAsia="Times New Roman" w:hAnsi="Times New Roman" w:cs="Times New Roman"/>
          <w:sz w:val="28"/>
          <w:szCs w:val="28"/>
        </w:rPr>
        <w:t>331,589</w:t>
      </w:r>
      <w:r w:rsidRPr="001B1D15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:rsidR="001E64F0" w:rsidRPr="001B1D15" w:rsidRDefault="001E64F0" w:rsidP="001E64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1D15">
        <w:rPr>
          <w:rFonts w:ascii="Times New Roman" w:eastAsia="Times New Roman" w:hAnsi="Times New Roman" w:cs="Times New Roman"/>
          <w:sz w:val="28"/>
          <w:szCs w:val="28"/>
        </w:rPr>
        <w:t>- неэффективное использование средств бюджета – 1</w:t>
      </w:r>
      <w:r>
        <w:rPr>
          <w:rFonts w:ascii="Times New Roman" w:eastAsia="Times New Roman" w:hAnsi="Times New Roman" w:cs="Times New Roman"/>
          <w:sz w:val="28"/>
          <w:szCs w:val="28"/>
        </w:rPr>
        <w:t> 619,664</w:t>
      </w:r>
      <w:r w:rsidRPr="001B1D15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:rsidR="001E64F0" w:rsidRPr="001B1D15" w:rsidRDefault="001E64F0" w:rsidP="001E64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1D15">
        <w:rPr>
          <w:rFonts w:ascii="Times New Roman" w:eastAsia="Times New Roman" w:hAnsi="Times New Roman" w:cs="Times New Roman"/>
          <w:sz w:val="28"/>
          <w:szCs w:val="28"/>
        </w:rPr>
        <w:t xml:space="preserve">- нарушения бюджетного процесса – </w:t>
      </w:r>
      <w:r>
        <w:rPr>
          <w:rFonts w:ascii="Times New Roman" w:eastAsia="Times New Roman" w:hAnsi="Times New Roman" w:cs="Times New Roman"/>
          <w:sz w:val="28"/>
          <w:szCs w:val="28"/>
        </w:rPr>
        <w:t>48 400,114</w:t>
      </w:r>
      <w:r w:rsidRPr="001B1D15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:rsidR="001E64F0" w:rsidRPr="001B1D15" w:rsidRDefault="001E64F0" w:rsidP="001E64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1D15">
        <w:rPr>
          <w:rFonts w:ascii="Times New Roman" w:eastAsia="Times New Roman" w:hAnsi="Times New Roman" w:cs="Times New Roman"/>
          <w:sz w:val="28"/>
          <w:szCs w:val="28"/>
        </w:rPr>
        <w:t>- нарушения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учета и отчетности -  137,533</w:t>
      </w:r>
      <w:r w:rsidRPr="001B1D15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:rsidR="001E64F0" w:rsidRPr="001B1D15" w:rsidRDefault="001E64F0" w:rsidP="001E64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1D15">
        <w:rPr>
          <w:rFonts w:ascii="Times New Roman" w:eastAsia="Times New Roman" w:hAnsi="Times New Roman" w:cs="Times New Roman"/>
          <w:sz w:val="28"/>
          <w:szCs w:val="28"/>
        </w:rPr>
        <w:t xml:space="preserve">- прочие нарушения и недостатки – </w:t>
      </w:r>
      <w:r>
        <w:rPr>
          <w:rFonts w:ascii="Times New Roman" w:eastAsia="Times New Roman" w:hAnsi="Times New Roman" w:cs="Times New Roman"/>
          <w:sz w:val="28"/>
          <w:szCs w:val="28"/>
        </w:rPr>
        <w:t>1 830 020,588</w:t>
      </w:r>
      <w:r w:rsidRPr="001B1D15">
        <w:rPr>
          <w:rFonts w:ascii="Times New Roman" w:eastAsia="Times New Roman" w:hAnsi="Times New Roman" w:cs="Times New Roman"/>
          <w:sz w:val="28"/>
          <w:szCs w:val="28"/>
        </w:rPr>
        <w:t xml:space="preserve"> тыс. рублей.</w:t>
      </w:r>
    </w:p>
    <w:p w:rsidR="001E64F0" w:rsidRDefault="001E64F0" w:rsidP="001E64F0">
      <w:pPr>
        <w:spacing w:after="0" w:line="240" w:lineRule="auto"/>
        <w:ind w:firstLine="708"/>
        <w:jc w:val="both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Основную долю выявленных нарушений составляет группа «прочие нарушения и недостатки». Данное обстоятельство связанно с тем, что к указанной группе отнесены нарушения в размере 1 649 635,650 тыс. рублей, выявленные в ходе п</w:t>
      </w:r>
      <w:r w:rsidRPr="00DE182C">
        <w:rPr>
          <w:rFonts w:ascii="Times New Roman" w:eastAsia="Times New Roman" w:hAnsi="Times New Roman" w:cs="Times New Roman"/>
          <w:sz w:val="28"/>
          <w:szCs w:val="28"/>
        </w:rPr>
        <w:t>роверк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E182C">
        <w:rPr>
          <w:rFonts w:ascii="Times New Roman" w:eastAsia="Times New Roman" w:hAnsi="Times New Roman" w:cs="Times New Roman"/>
          <w:sz w:val="28"/>
          <w:szCs w:val="28"/>
        </w:rPr>
        <w:t xml:space="preserve"> соблюдения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процедур, предусмотренных </w:t>
      </w:r>
      <w:r w:rsidRPr="00DE182C">
        <w:rPr>
          <w:rFonts w:ascii="Times New Roman" w:eastAsia="Times New Roman" w:hAnsi="Times New Roman" w:cs="Times New Roman"/>
          <w:sz w:val="28"/>
          <w:szCs w:val="28"/>
        </w:rPr>
        <w:t>законодательств</w:t>
      </w:r>
      <w:r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DE18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E182C">
        <w:rPr>
          <w:rFonts w:ascii="Times New Roman" w:eastAsia="Times New Roman" w:hAnsi="Times New Roman" w:cs="Times New Roman"/>
          <w:sz w:val="28"/>
          <w:szCs w:val="28"/>
        </w:rPr>
        <w:t xml:space="preserve"> размещении заказ</w:t>
      </w:r>
      <w:r>
        <w:rPr>
          <w:rFonts w:ascii="Times New Roman" w:eastAsia="Times New Roman" w:hAnsi="Times New Roman" w:cs="Times New Roman"/>
          <w:sz w:val="28"/>
          <w:szCs w:val="28"/>
        </w:rPr>
        <w:t>ов на поставки товаров, выполнение работ, оказание услуг для муниципальных нужд</w:t>
      </w:r>
      <w:r w:rsidRPr="00DE18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DE182C">
        <w:rPr>
          <w:rFonts w:ascii="Times New Roman" w:eastAsia="Times New Roman" w:hAnsi="Times New Roman" w:cs="Times New Roman"/>
          <w:sz w:val="28"/>
          <w:szCs w:val="28"/>
        </w:rPr>
        <w:t xml:space="preserve"> выполнени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DE182C">
        <w:rPr>
          <w:rFonts w:ascii="Times New Roman" w:eastAsia="Times New Roman" w:hAnsi="Times New Roman" w:cs="Times New Roman"/>
          <w:sz w:val="28"/>
          <w:szCs w:val="28"/>
        </w:rPr>
        <w:t xml:space="preserve"> строительно-монтажных работ по объекту: «Парково-досуговая зона г. Нефтеюганска со зданием крытого бассейна»</w:t>
      </w:r>
      <w:r w:rsidR="0071416B">
        <w:rPr>
          <w:rFonts w:ascii="Times New Roman" w:eastAsia="Times New Roman" w:hAnsi="Times New Roman" w:cs="Times New Roman"/>
          <w:sz w:val="28"/>
          <w:szCs w:val="28"/>
        </w:rPr>
        <w:t xml:space="preserve">, то есть, учитывая тот факт, что установлены нарушения Федерального закона от 21.07.2005 № 94-ФЗ «О размещении заказов на поставки товаров, выполнение работ, оказание услуг для государственных и муниципальных нужд», в объеме нарушений учтена сумма контракта. </w:t>
      </w:r>
      <w:r w:rsidRPr="001B1D1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953D01" w:rsidRPr="00953D01" w:rsidRDefault="00953D01" w:rsidP="00953D01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3D01">
        <w:rPr>
          <w:rFonts w:ascii="Times New Roman" w:hAnsi="Times New Roman" w:cs="Times New Roman"/>
          <w:color w:val="000000"/>
          <w:sz w:val="28"/>
          <w:szCs w:val="28"/>
        </w:rPr>
        <w:t>Часть выявленных Счетной палатой нарушений не имеет стоимостной оценки. К таким нарушениям, в частности,</w:t>
      </w:r>
      <w:r w:rsidR="00B61B58">
        <w:rPr>
          <w:rFonts w:ascii="Times New Roman" w:hAnsi="Times New Roman" w:cs="Times New Roman"/>
          <w:color w:val="000000"/>
          <w:sz w:val="28"/>
          <w:szCs w:val="28"/>
        </w:rPr>
        <w:t xml:space="preserve"> относятся</w:t>
      </w:r>
      <w:r w:rsidRPr="00953D01">
        <w:rPr>
          <w:rFonts w:ascii="Times New Roman" w:hAnsi="Times New Roman" w:cs="Times New Roman"/>
          <w:color w:val="000000"/>
          <w:sz w:val="28"/>
          <w:szCs w:val="28"/>
        </w:rPr>
        <w:t xml:space="preserve"> отельные виды нарушений законодательства о размещении заказов (о контрактной системе), нарушения </w:t>
      </w:r>
      <w:r w:rsidR="00B61B58">
        <w:rPr>
          <w:rFonts w:ascii="Times New Roman" w:hAnsi="Times New Roman" w:cs="Times New Roman"/>
          <w:color w:val="000000"/>
          <w:sz w:val="28"/>
          <w:szCs w:val="28"/>
        </w:rPr>
        <w:t>в сфере</w:t>
      </w:r>
      <w:r w:rsidRPr="00953D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61B58">
        <w:rPr>
          <w:rFonts w:ascii="Times New Roman" w:hAnsi="Times New Roman" w:cs="Times New Roman"/>
          <w:color w:val="000000"/>
          <w:sz w:val="28"/>
          <w:szCs w:val="28"/>
        </w:rPr>
        <w:t>управления и распоряжения</w:t>
      </w:r>
      <w:r w:rsidRPr="00953D01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</w:t>
      </w:r>
      <w:r w:rsidR="00B61B58">
        <w:rPr>
          <w:rFonts w:ascii="Times New Roman" w:hAnsi="Times New Roman" w:cs="Times New Roman"/>
          <w:color w:val="000000"/>
          <w:sz w:val="28"/>
          <w:szCs w:val="28"/>
        </w:rPr>
        <w:t>ым</w:t>
      </w:r>
      <w:r w:rsidRPr="00953D01">
        <w:rPr>
          <w:rFonts w:ascii="Times New Roman" w:hAnsi="Times New Roman" w:cs="Times New Roman"/>
          <w:color w:val="000000"/>
          <w:sz w:val="28"/>
          <w:szCs w:val="28"/>
        </w:rPr>
        <w:t xml:space="preserve"> имуществ</w:t>
      </w:r>
      <w:r w:rsidR="00B61B58"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="001E64F0">
        <w:rPr>
          <w:rFonts w:ascii="Times New Roman" w:hAnsi="Times New Roman" w:cs="Times New Roman"/>
          <w:color w:val="000000"/>
          <w:sz w:val="28"/>
          <w:szCs w:val="28"/>
        </w:rPr>
        <w:t xml:space="preserve">, нарушения </w:t>
      </w:r>
      <w:r w:rsidR="001E64F0" w:rsidRPr="00332162">
        <w:rPr>
          <w:rFonts w:ascii="Times New Roman" w:hAnsi="Times New Roman"/>
          <w:sz w:val="28"/>
          <w:szCs w:val="28"/>
        </w:rPr>
        <w:t>требовани</w:t>
      </w:r>
      <w:r w:rsidR="001E64F0">
        <w:rPr>
          <w:rFonts w:ascii="Times New Roman" w:hAnsi="Times New Roman"/>
          <w:sz w:val="28"/>
          <w:szCs w:val="28"/>
        </w:rPr>
        <w:t>й</w:t>
      </w:r>
      <w:r w:rsidR="001E64F0" w:rsidRPr="00332162">
        <w:rPr>
          <w:rFonts w:ascii="Times New Roman" w:hAnsi="Times New Roman"/>
          <w:sz w:val="28"/>
          <w:szCs w:val="28"/>
        </w:rPr>
        <w:t xml:space="preserve"> к плану финансово-хозяйственной деятельности государственного (муниципального) учреждения</w:t>
      </w:r>
      <w:r w:rsidR="00B61B58">
        <w:rPr>
          <w:rFonts w:ascii="Times New Roman" w:hAnsi="Times New Roman"/>
          <w:sz w:val="28"/>
          <w:szCs w:val="28"/>
        </w:rPr>
        <w:t>, нарушения муниципальных правовых актов</w:t>
      </w:r>
      <w:r w:rsidRPr="00953D01">
        <w:rPr>
          <w:rFonts w:ascii="Times New Roman" w:hAnsi="Times New Roman" w:cs="Times New Roman"/>
          <w:color w:val="000000"/>
          <w:sz w:val="28"/>
          <w:szCs w:val="28"/>
        </w:rPr>
        <w:t xml:space="preserve"> и прочие виды нарушений.</w:t>
      </w:r>
    </w:p>
    <w:p w:rsidR="00953D01" w:rsidRPr="00953D01" w:rsidRDefault="00953D01" w:rsidP="00953D01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3D01">
        <w:rPr>
          <w:rFonts w:ascii="Times New Roman" w:hAnsi="Times New Roman" w:cs="Times New Roman"/>
          <w:color w:val="000000"/>
          <w:sz w:val="28"/>
          <w:szCs w:val="28"/>
        </w:rPr>
        <w:t xml:space="preserve">Для принятия конкретных мер по устранению выявленных нарушений и недостатков руководителям проверенных учреждений и организаций направлено </w:t>
      </w:r>
      <w:r w:rsidR="001E64F0">
        <w:rPr>
          <w:rFonts w:ascii="Times New Roman" w:hAnsi="Times New Roman" w:cs="Times New Roman"/>
          <w:color w:val="000000"/>
          <w:sz w:val="28"/>
          <w:szCs w:val="28"/>
        </w:rPr>
        <w:t>18</w:t>
      </w:r>
      <w:r w:rsidRPr="00953D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C2693F">
        <w:rPr>
          <w:rFonts w:ascii="Times New Roman" w:hAnsi="Times New Roman" w:cs="Times New Roman"/>
          <w:color w:val="000000"/>
          <w:sz w:val="28"/>
          <w:szCs w:val="28"/>
        </w:rPr>
        <w:t>представлений</w:t>
      </w:r>
      <w:r w:rsidRPr="00953D01">
        <w:rPr>
          <w:rFonts w:ascii="Times New Roman" w:hAnsi="Times New Roman" w:cs="Times New Roman"/>
          <w:color w:val="000000"/>
          <w:sz w:val="28"/>
          <w:szCs w:val="28"/>
        </w:rPr>
        <w:t xml:space="preserve"> (в 2013 году – </w:t>
      </w:r>
      <w:r w:rsidR="00C2693F">
        <w:rPr>
          <w:rFonts w:ascii="Times New Roman" w:hAnsi="Times New Roman" w:cs="Times New Roman"/>
          <w:color w:val="000000"/>
          <w:sz w:val="28"/>
          <w:szCs w:val="28"/>
        </w:rPr>
        <w:t>17</w:t>
      </w:r>
      <w:r w:rsidRPr="00953D01">
        <w:rPr>
          <w:rFonts w:ascii="Times New Roman" w:hAnsi="Times New Roman" w:cs="Times New Roman"/>
          <w:color w:val="000000"/>
          <w:sz w:val="28"/>
          <w:szCs w:val="28"/>
        </w:rPr>
        <w:t>, в 2012 году – 1</w:t>
      </w:r>
      <w:r w:rsidR="00C2693F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953D01">
        <w:rPr>
          <w:rFonts w:ascii="Times New Roman" w:hAnsi="Times New Roman" w:cs="Times New Roman"/>
          <w:color w:val="000000"/>
          <w:sz w:val="28"/>
          <w:szCs w:val="28"/>
        </w:rPr>
        <w:t xml:space="preserve"> представлений</w:t>
      </w:r>
      <w:r w:rsidR="00B61B58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953D01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953D01" w:rsidRPr="00953D01" w:rsidRDefault="00953D01" w:rsidP="00953D01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3D01">
        <w:rPr>
          <w:rFonts w:ascii="Times New Roman" w:hAnsi="Times New Roman" w:cs="Times New Roman"/>
          <w:color w:val="000000"/>
          <w:sz w:val="28"/>
          <w:szCs w:val="28"/>
        </w:rPr>
        <w:t xml:space="preserve">По результатам рассмотрения материалов Счетной </w:t>
      </w:r>
      <w:r w:rsidR="00B61B58">
        <w:rPr>
          <w:rFonts w:ascii="Times New Roman" w:hAnsi="Times New Roman" w:cs="Times New Roman"/>
          <w:color w:val="000000"/>
          <w:sz w:val="28"/>
          <w:szCs w:val="28"/>
        </w:rPr>
        <w:t>палат</w:t>
      </w:r>
      <w:r w:rsidR="0071416B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B61B5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61B5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2693F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953D01">
        <w:rPr>
          <w:rFonts w:ascii="Times New Roman" w:hAnsi="Times New Roman" w:cs="Times New Roman"/>
          <w:color w:val="000000"/>
          <w:sz w:val="28"/>
          <w:szCs w:val="28"/>
        </w:rPr>
        <w:t xml:space="preserve"> должностных лиц </w:t>
      </w:r>
      <w:r w:rsidR="00C2693F">
        <w:rPr>
          <w:rFonts w:ascii="Times New Roman" w:hAnsi="Times New Roman" w:cs="Times New Roman"/>
          <w:color w:val="000000"/>
          <w:sz w:val="28"/>
          <w:szCs w:val="28"/>
        </w:rPr>
        <w:t>проверенных объектов</w:t>
      </w:r>
      <w:r w:rsidRPr="00953D01">
        <w:rPr>
          <w:rFonts w:ascii="Times New Roman" w:hAnsi="Times New Roman" w:cs="Times New Roman"/>
          <w:color w:val="000000"/>
          <w:sz w:val="28"/>
          <w:szCs w:val="28"/>
        </w:rPr>
        <w:t xml:space="preserve"> привлечен</w:t>
      </w:r>
      <w:r w:rsidR="0071416B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953D01">
        <w:rPr>
          <w:rFonts w:ascii="Times New Roman" w:hAnsi="Times New Roman" w:cs="Times New Roman"/>
          <w:color w:val="000000"/>
          <w:sz w:val="28"/>
          <w:szCs w:val="28"/>
        </w:rPr>
        <w:t xml:space="preserve"> к </w:t>
      </w:r>
      <w:r w:rsidR="00C2693F">
        <w:rPr>
          <w:rFonts w:ascii="Times New Roman" w:hAnsi="Times New Roman" w:cs="Times New Roman"/>
          <w:color w:val="000000"/>
          <w:sz w:val="28"/>
          <w:szCs w:val="28"/>
        </w:rPr>
        <w:t>дисциплинарной ответственности</w:t>
      </w:r>
      <w:r w:rsidRPr="00953D0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2693F" w:rsidRDefault="00953D01" w:rsidP="00953D01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953D01">
        <w:rPr>
          <w:rFonts w:ascii="Times New Roman" w:hAnsi="Times New Roman" w:cs="Times New Roman"/>
          <w:color w:val="000000"/>
          <w:sz w:val="28"/>
          <w:szCs w:val="28"/>
        </w:rPr>
        <w:t xml:space="preserve">В связи с принятием должностными лицами объектов контроля мер по устранению недостатков и нарушений, выявленных в ходе проведения проверок, в отчетном периоде снято с контроля </w:t>
      </w:r>
      <w:r w:rsidR="00C2693F">
        <w:rPr>
          <w:rFonts w:ascii="Times New Roman" w:hAnsi="Times New Roman" w:cs="Times New Roman"/>
          <w:color w:val="000000"/>
          <w:sz w:val="28"/>
          <w:szCs w:val="28"/>
        </w:rPr>
        <w:t>13</w:t>
      </w:r>
      <w:r w:rsidRPr="00953D01">
        <w:rPr>
          <w:rFonts w:ascii="Times New Roman" w:hAnsi="Times New Roman" w:cs="Times New Roman"/>
          <w:color w:val="000000"/>
          <w:sz w:val="28"/>
          <w:szCs w:val="28"/>
        </w:rPr>
        <w:t xml:space="preserve"> представлени</w:t>
      </w:r>
      <w:r w:rsidR="00C2693F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953D01">
        <w:rPr>
          <w:rFonts w:ascii="Times New Roman" w:hAnsi="Times New Roman" w:cs="Times New Roman"/>
          <w:color w:val="000000"/>
          <w:sz w:val="28"/>
          <w:szCs w:val="28"/>
        </w:rPr>
        <w:t xml:space="preserve"> Счетной палаты (</w:t>
      </w:r>
      <w:r w:rsidR="00C2693F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953D01">
        <w:rPr>
          <w:rFonts w:ascii="Times New Roman" w:hAnsi="Times New Roman" w:cs="Times New Roman"/>
          <w:color w:val="000000"/>
          <w:sz w:val="28"/>
          <w:szCs w:val="28"/>
        </w:rPr>
        <w:t xml:space="preserve"> представлений </w:t>
      </w:r>
      <w:r w:rsidR="00C2693F">
        <w:rPr>
          <w:rFonts w:ascii="Times New Roman" w:hAnsi="Times New Roman" w:cs="Times New Roman"/>
          <w:color w:val="000000"/>
          <w:sz w:val="28"/>
          <w:szCs w:val="28"/>
        </w:rPr>
        <w:t>на конец отчетного периода оставались</w:t>
      </w:r>
      <w:r w:rsidRPr="00953D01">
        <w:rPr>
          <w:rFonts w:ascii="Times New Roman" w:hAnsi="Times New Roman" w:cs="Times New Roman"/>
          <w:color w:val="000000"/>
          <w:sz w:val="28"/>
          <w:szCs w:val="28"/>
        </w:rPr>
        <w:t xml:space="preserve"> на контроле Счетной палаты</w:t>
      </w:r>
      <w:r w:rsidR="00C2693F">
        <w:rPr>
          <w:rFonts w:ascii="Times New Roman" w:hAnsi="Times New Roman" w:cs="Times New Roman"/>
          <w:color w:val="000000"/>
          <w:sz w:val="28"/>
          <w:szCs w:val="28"/>
        </w:rPr>
        <w:t>, так как срок предоставления информации об их исполнении январь 2015 года</w:t>
      </w:r>
      <w:r w:rsidRPr="00953D01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  <w:proofErr w:type="gramEnd"/>
    </w:p>
    <w:p w:rsidR="00953D01" w:rsidRPr="00953D01" w:rsidRDefault="00953D01" w:rsidP="00953D0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3D01">
        <w:rPr>
          <w:rFonts w:ascii="Times New Roman" w:hAnsi="Times New Roman" w:cs="Times New Roman"/>
          <w:sz w:val="28"/>
          <w:szCs w:val="28"/>
        </w:rPr>
        <w:t>Объектами контрольных мероприятий использовались возможности по устранению нарушений, возврату бюджетных средств, использованных с нарушением действующего законодательства.</w:t>
      </w:r>
    </w:p>
    <w:p w:rsidR="00953D01" w:rsidRPr="00953D01" w:rsidRDefault="00953D01" w:rsidP="00953D0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3D01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По итогам проверок и реализации их результатов в 2014 году </w:t>
      </w:r>
      <w:r w:rsidR="00D965F1">
        <w:rPr>
          <w:rFonts w:ascii="Times New Roman" w:hAnsi="Times New Roman" w:cs="Times New Roman"/>
          <w:color w:val="000000"/>
          <w:sz w:val="28"/>
          <w:szCs w:val="28"/>
        </w:rPr>
        <w:t xml:space="preserve">устранено нарушений на сумму 994,382 тыс. рублей, из них 892,852 тыс. рублей </w:t>
      </w:r>
      <w:r w:rsidR="00C2693F">
        <w:rPr>
          <w:rFonts w:ascii="Times New Roman" w:hAnsi="Times New Roman" w:cs="Times New Roman"/>
          <w:color w:val="000000"/>
          <w:sz w:val="28"/>
          <w:szCs w:val="28"/>
        </w:rPr>
        <w:t xml:space="preserve">восстановлено </w:t>
      </w:r>
      <w:r w:rsidR="00D965F1">
        <w:rPr>
          <w:rFonts w:ascii="Times New Roman" w:hAnsi="Times New Roman" w:cs="Times New Roman"/>
          <w:color w:val="000000"/>
          <w:sz w:val="28"/>
          <w:szCs w:val="28"/>
        </w:rPr>
        <w:t>в бюджет</w:t>
      </w:r>
      <w:r w:rsidRPr="00953D0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53D01" w:rsidRDefault="00953D01" w:rsidP="00953D0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416B">
        <w:rPr>
          <w:rFonts w:ascii="Times New Roman" w:hAnsi="Times New Roman" w:cs="Times New Roman"/>
          <w:sz w:val="28"/>
          <w:szCs w:val="28"/>
        </w:rPr>
        <w:t>Информация об устранении выявленных нарушений в сравнении с данными 201</w:t>
      </w:r>
      <w:r w:rsidR="00834977" w:rsidRPr="0071416B">
        <w:rPr>
          <w:rFonts w:ascii="Times New Roman" w:hAnsi="Times New Roman" w:cs="Times New Roman"/>
          <w:sz w:val="28"/>
          <w:szCs w:val="28"/>
        </w:rPr>
        <w:t>2</w:t>
      </w:r>
      <w:r w:rsidRPr="0071416B">
        <w:rPr>
          <w:rFonts w:ascii="Times New Roman" w:hAnsi="Times New Roman" w:cs="Times New Roman"/>
          <w:sz w:val="28"/>
          <w:szCs w:val="28"/>
        </w:rPr>
        <w:t>-201</w:t>
      </w:r>
      <w:r w:rsidR="00834977" w:rsidRPr="0071416B">
        <w:rPr>
          <w:rFonts w:ascii="Times New Roman" w:hAnsi="Times New Roman" w:cs="Times New Roman"/>
          <w:sz w:val="28"/>
          <w:szCs w:val="28"/>
        </w:rPr>
        <w:t>4</w:t>
      </w:r>
      <w:r w:rsidRPr="0071416B">
        <w:rPr>
          <w:rFonts w:ascii="Times New Roman" w:hAnsi="Times New Roman" w:cs="Times New Roman"/>
          <w:sz w:val="28"/>
          <w:szCs w:val="28"/>
        </w:rPr>
        <w:t xml:space="preserve"> годов представлена </w:t>
      </w:r>
      <w:r w:rsidR="0071416B" w:rsidRPr="0071416B">
        <w:rPr>
          <w:rFonts w:ascii="Times New Roman" w:hAnsi="Times New Roman" w:cs="Times New Roman"/>
          <w:sz w:val="28"/>
          <w:szCs w:val="28"/>
        </w:rPr>
        <w:t xml:space="preserve">в диаграмме </w:t>
      </w:r>
      <w:r w:rsidR="003477DE">
        <w:rPr>
          <w:rFonts w:ascii="Times New Roman" w:hAnsi="Times New Roman" w:cs="Times New Roman"/>
          <w:sz w:val="28"/>
          <w:szCs w:val="28"/>
        </w:rPr>
        <w:t>№</w:t>
      </w:r>
      <w:r w:rsidR="0071416B" w:rsidRPr="0071416B">
        <w:rPr>
          <w:rFonts w:ascii="Times New Roman" w:hAnsi="Times New Roman" w:cs="Times New Roman"/>
          <w:sz w:val="28"/>
          <w:szCs w:val="28"/>
        </w:rPr>
        <w:t>2.</w:t>
      </w:r>
      <w:r w:rsidRPr="007141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416B" w:rsidRDefault="0071416B" w:rsidP="00953D0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1416B" w:rsidRPr="003477DE" w:rsidRDefault="0071416B" w:rsidP="0071416B">
      <w:pPr>
        <w:spacing w:after="0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3477DE">
        <w:rPr>
          <w:rFonts w:ascii="Times New Roman" w:hAnsi="Times New Roman" w:cs="Times New Roman"/>
          <w:sz w:val="24"/>
          <w:szCs w:val="24"/>
        </w:rPr>
        <w:t xml:space="preserve">Диаграмма </w:t>
      </w:r>
      <w:r w:rsidR="003477DE">
        <w:rPr>
          <w:rFonts w:ascii="Times New Roman" w:hAnsi="Times New Roman" w:cs="Times New Roman"/>
          <w:sz w:val="24"/>
          <w:szCs w:val="24"/>
        </w:rPr>
        <w:t>№</w:t>
      </w:r>
      <w:r w:rsidRPr="003477DE">
        <w:rPr>
          <w:rFonts w:ascii="Times New Roman" w:hAnsi="Times New Roman" w:cs="Times New Roman"/>
          <w:sz w:val="24"/>
          <w:szCs w:val="24"/>
        </w:rPr>
        <w:t>2</w:t>
      </w:r>
    </w:p>
    <w:p w:rsidR="0071416B" w:rsidRPr="003477DE" w:rsidRDefault="0071416B" w:rsidP="0071416B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77DE">
        <w:rPr>
          <w:rFonts w:ascii="Times New Roman" w:hAnsi="Times New Roman" w:cs="Times New Roman"/>
          <w:b/>
          <w:sz w:val="24"/>
          <w:szCs w:val="24"/>
        </w:rPr>
        <w:t>Сумма устранен</w:t>
      </w:r>
      <w:r w:rsidR="003477DE" w:rsidRPr="003477DE">
        <w:rPr>
          <w:rFonts w:ascii="Times New Roman" w:hAnsi="Times New Roman" w:cs="Times New Roman"/>
          <w:b/>
          <w:sz w:val="24"/>
          <w:szCs w:val="24"/>
        </w:rPr>
        <w:t>ных</w:t>
      </w:r>
      <w:r w:rsidRPr="003477DE">
        <w:rPr>
          <w:rFonts w:ascii="Times New Roman" w:hAnsi="Times New Roman" w:cs="Times New Roman"/>
          <w:b/>
          <w:sz w:val="24"/>
          <w:szCs w:val="24"/>
        </w:rPr>
        <w:t xml:space="preserve"> нарушений, тыс. руб.</w:t>
      </w:r>
    </w:p>
    <w:p w:rsidR="00953D01" w:rsidRPr="00953D01" w:rsidRDefault="00953D01" w:rsidP="00953D01">
      <w:pPr>
        <w:spacing w:after="0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953D0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379899" cy="1751960"/>
            <wp:effectExtent l="0" t="0" r="0" b="0"/>
            <wp:docPr id="1" name="Объект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53D01" w:rsidRDefault="00834977" w:rsidP="00953D0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большинстве своем</w:t>
      </w:r>
      <w:r w:rsidR="00953D01" w:rsidRPr="00953D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объем </w:t>
      </w:r>
      <w:r w:rsidR="00953D01" w:rsidRPr="00953D01">
        <w:rPr>
          <w:rFonts w:ascii="Times New Roman" w:hAnsi="Times New Roman" w:cs="Times New Roman"/>
          <w:sz w:val="28"/>
          <w:szCs w:val="28"/>
        </w:rPr>
        <w:t>выявленных в 2014 году финансовых нарушений носит неустранимый характер. Это нарушения в сфере</w:t>
      </w:r>
      <w:r>
        <w:rPr>
          <w:rFonts w:ascii="Times New Roman" w:hAnsi="Times New Roman" w:cs="Times New Roman"/>
          <w:sz w:val="28"/>
          <w:szCs w:val="28"/>
        </w:rPr>
        <w:t xml:space="preserve"> размещения заказов и</w:t>
      </w:r>
      <w:r w:rsidR="00953D01" w:rsidRPr="00953D01">
        <w:rPr>
          <w:rFonts w:ascii="Times New Roman" w:hAnsi="Times New Roman" w:cs="Times New Roman"/>
          <w:sz w:val="28"/>
          <w:szCs w:val="28"/>
        </w:rPr>
        <w:t xml:space="preserve"> закупок</w:t>
      </w:r>
      <w:r>
        <w:rPr>
          <w:rFonts w:ascii="Times New Roman" w:hAnsi="Times New Roman" w:cs="Times New Roman"/>
          <w:sz w:val="28"/>
          <w:szCs w:val="28"/>
        </w:rPr>
        <w:t xml:space="preserve"> для муниципальных нужд</w:t>
      </w:r>
      <w:r w:rsidR="00953D01" w:rsidRPr="00953D01">
        <w:rPr>
          <w:rFonts w:ascii="Times New Roman" w:hAnsi="Times New Roman" w:cs="Times New Roman"/>
          <w:sz w:val="28"/>
          <w:szCs w:val="28"/>
        </w:rPr>
        <w:t>, неэффективное использование бюджетных средств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953D01" w:rsidRPr="00953D01">
        <w:rPr>
          <w:rFonts w:ascii="Times New Roman" w:hAnsi="Times New Roman" w:cs="Times New Roman"/>
          <w:sz w:val="28"/>
          <w:szCs w:val="28"/>
        </w:rPr>
        <w:t xml:space="preserve"> прочие виды нарушений.</w:t>
      </w:r>
    </w:p>
    <w:p w:rsidR="0027225A" w:rsidRDefault="00B61B58" w:rsidP="0027225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отчетном году, в связи с возложением на Счетную палату полномочий по осуществлению контроля</w:t>
      </w:r>
      <w:r w:rsidR="00F243D9">
        <w:rPr>
          <w:rFonts w:ascii="Times New Roman" w:hAnsi="Times New Roman" w:cs="Times New Roman"/>
          <w:sz w:val="28"/>
          <w:szCs w:val="28"/>
        </w:rPr>
        <w:t xml:space="preserve"> в области контрактной систем</w:t>
      </w:r>
      <w:r w:rsidR="00EF1027">
        <w:rPr>
          <w:rFonts w:ascii="Times New Roman" w:hAnsi="Times New Roman" w:cs="Times New Roman"/>
          <w:sz w:val="28"/>
          <w:szCs w:val="28"/>
        </w:rPr>
        <w:t>ы</w:t>
      </w:r>
      <w:r w:rsidR="00F243D9">
        <w:rPr>
          <w:rFonts w:ascii="Times New Roman" w:hAnsi="Times New Roman" w:cs="Times New Roman"/>
          <w:sz w:val="28"/>
          <w:szCs w:val="28"/>
        </w:rPr>
        <w:t xml:space="preserve"> в сфере закупок товаров, работ, услуг для обеспечения государственных и муниципальных нужд</w:t>
      </w:r>
      <w:r w:rsidR="0027225A">
        <w:rPr>
          <w:rFonts w:ascii="Times New Roman" w:hAnsi="Times New Roman" w:cs="Times New Roman"/>
          <w:sz w:val="28"/>
          <w:szCs w:val="28"/>
        </w:rPr>
        <w:t>,</w:t>
      </w:r>
      <w:r w:rsidR="0027225A" w:rsidRPr="0027225A">
        <w:rPr>
          <w:rFonts w:ascii="Times New Roman" w:hAnsi="Times New Roman" w:cs="Times New Roman"/>
          <w:sz w:val="28"/>
          <w:szCs w:val="28"/>
        </w:rPr>
        <w:t xml:space="preserve"> осуществлялось согласование заключения контрактов с единственным поставщиком (подрядчиком, исполнителем). В результате принято 345 решений, общая сумма контрактов составила 688 802,868 тыс. руб., из них по 10 контрактам на сумму 7 110,909 тыс. руб. принято 10 решений об отказе в согласовании. </w:t>
      </w:r>
    </w:p>
    <w:p w:rsidR="0027225A" w:rsidRDefault="0027225A" w:rsidP="0027225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на предмет соответствия действующему законодательству проанализировано 14 уведомлений о заключении контрактов с единственным </w:t>
      </w:r>
      <w:r w:rsidRPr="0027225A">
        <w:rPr>
          <w:rFonts w:ascii="Times New Roman" w:hAnsi="Times New Roman" w:cs="Times New Roman"/>
          <w:sz w:val="28"/>
          <w:szCs w:val="28"/>
        </w:rPr>
        <w:t>поставщиком (подрядчиком, исполнителем)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пунктом 6 части 1 статьи 93</w:t>
      </w:r>
      <w:r w:rsidRPr="002722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закона от 05.04.2013 № 44-ФЗ «О контрактной системе в сфере закупок товаров, работ, услуг для обеспечения государственных и муниципальных нужд». </w:t>
      </w:r>
    </w:p>
    <w:p w:rsidR="0061505A" w:rsidRDefault="0061505A" w:rsidP="00D02577">
      <w:pPr>
        <w:spacing w:after="0" w:line="365" w:lineRule="atLeas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0F0444" w:rsidRDefault="00D02577" w:rsidP="00D02577">
      <w:pPr>
        <w:spacing w:after="0" w:line="365" w:lineRule="atLeas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Раздел 3. Э</w:t>
      </w:r>
      <w:r w:rsidR="000F0444" w:rsidRPr="00D0257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кспертно-аналитическая деятельность</w:t>
      </w:r>
    </w:p>
    <w:p w:rsidR="00FE2C0D" w:rsidRDefault="00FE2C0D" w:rsidP="00D02577">
      <w:pPr>
        <w:spacing w:after="0" w:line="365" w:lineRule="atLeas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7E45DE" w:rsidRDefault="007E45DE" w:rsidP="009500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и в предыдущие периоды экспертно-аналитическая деятельность характеризуется ростом общего количества подготовленных по ее результатам заключений. Следует отметить, что экспертно-аналитической деятельности уделяется</w:t>
      </w:r>
      <w:r w:rsidR="006231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особое внимание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так как именно это направление </w:t>
      </w:r>
      <w:r w:rsidR="0062313B" w:rsidRPr="006231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связанно</w:t>
      </w:r>
      <w:r w:rsidR="00F069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62313B" w:rsidRPr="006231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прежде всего</w:t>
      </w:r>
      <w:r w:rsidR="00F069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62313B" w:rsidRPr="006231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предупреждением и своевременным пресечением правонарушений в бюджетной сфере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</w:t>
      </w:r>
    </w:p>
    <w:p w:rsidR="00D90AC1" w:rsidRDefault="007E45DE" w:rsidP="009500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Всего в отчетном году подготовлено 15</w:t>
      </w:r>
      <w:r w:rsidR="008A62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заключени</w:t>
      </w:r>
      <w:r w:rsidR="00F36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="00D90A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D90AC1" w:rsidRPr="00D90A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90AC1" w:rsidRPr="00FC4A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диаграмме</w:t>
      </w:r>
      <w:r w:rsidR="003477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№3 </w:t>
      </w:r>
      <w:r w:rsidR="00D90AC1" w:rsidRPr="00FC4A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представлена информация в разрезе заключений. </w:t>
      </w:r>
    </w:p>
    <w:p w:rsidR="003477DE" w:rsidRDefault="003477DE" w:rsidP="006C3618">
      <w:pPr>
        <w:spacing w:after="0" w:line="365" w:lineRule="atLeast"/>
        <w:ind w:firstLine="708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77DE" w:rsidRDefault="003477DE" w:rsidP="006C3618">
      <w:pPr>
        <w:spacing w:after="0" w:line="365" w:lineRule="atLeast"/>
        <w:ind w:firstLine="708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77DE" w:rsidRDefault="003477DE" w:rsidP="006C3618">
      <w:pPr>
        <w:spacing w:after="0" w:line="365" w:lineRule="atLeast"/>
        <w:ind w:firstLine="708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66B21" w:rsidRPr="003477DE" w:rsidRDefault="00A55A6C" w:rsidP="006C3618">
      <w:pPr>
        <w:spacing w:after="0" w:line="365" w:lineRule="atLeast"/>
        <w:ind w:firstLine="70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C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66B21" w:rsidRPr="003477DE">
        <w:rPr>
          <w:rFonts w:ascii="Times New Roman" w:hAnsi="Times New Roman" w:cs="Times New Roman"/>
          <w:sz w:val="24"/>
          <w:szCs w:val="24"/>
        </w:rPr>
        <w:t>Диаграмма</w:t>
      </w:r>
      <w:r w:rsidR="003477DE">
        <w:rPr>
          <w:rFonts w:ascii="Times New Roman" w:hAnsi="Times New Roman" w:cs="Times New Roman"/>
          <w:sz w:val="24"/>
          <w:szCs w:val="24"/>
        </w:rPr>
        <w:t xml:space="preserve"> №3</w:t>
      </w:r>
      <w:r w:rsidR="00D66B21" w:rsidRPr="003477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1C0F" w:rsidRDefault="00801C0F" w:rsidP="00801C0F">
      <w:pPr>
        <w:spacing w:after="0" w:line="365" w:lineRule="atLeast"/>
        <w:ind w:firstLine="708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801C0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0" t="0" r="0" b="0"/>
            <wp:docPr id="5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801C0F" w:rsidRDefault="00801C0F" w:rsidP="00801C0F">
      <w:pPr>
        <w:spacing w:after="0" w:line="365" w:lineRule="atLeast"/>
        <w:ind w:firstLine="708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</w:p>
    <w:p w:rsidR="006F60FA" w:rsidRDefault="00801C0F" w:rsidP="00801C0F">
      <w:pPr>
        <w:pStyle w:val="ad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Согласно данным диаграммы</w:t>
      </w:r>
      <w:r w:rsidR="0027225A" w:rsidRPr="00801C0F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большую долю  (63%) в общем количестве подготовленных заключений занимают заключения на проекты изменений в муниципальные программы. Данное обстоятельство связано</w:t>
      </w:r>
      <w:r w:rsidR="0027225A" w:rsidRPr="00801C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переходом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="0027225A" w:rsidRPr="00801C0F">
        <w:rPr>
          <w:rFonts w:ascii="Times New Roman" w:eastAsia="Times New Roman" w:hAnsi="Times New Roman" w:cs="Times New Roman"/>
          <w:color w:val="000000"/>
          <w:sz w:val="28"/>
          <w:szCs w:val="28"/>
        </w:rPr>
        <w:t>201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27225A" w:rsidRPr="00801C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27225A" w:rsidRPr="00801C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бюджетного планирования на программно-целевой принцип, как основу формирования бюджета.</w:t>
      </w:r>
      <w:r w:rsidR="00540E2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результатам проведения экспертизы предотвращено неэффективных расходов на сумму </w:t>
      </w:r>
      <w:r w:rsidR="006F60FA" w:rsidRPr="005300A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20 262,696 тыс. рублей</w:t>
      </w:r>
      <w:r w:rsidR="006F60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в том числе: </w:t>
      </w:r>
    </w:p>
    <w:p w:rsidR="006F60FA" w:rsidRDefault="006F60FA" w:rsidP="006F60F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В рамках экспертизы одного из проектов изменений в муниципальную программу города Нефтеюганска «Развитие физической культуры и спорта в городе Нефтеюганске на 2014-2020 годы» установлено, что в сводном сметном расчете по мероприятию «Развитие материально-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техничской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базы учреждений «Нежилое строение лыжной базы (Северо-восточная зона). Реестровый № 498111 (инженерные сети)» предусматривались средства на покрытие затрат по платежам на добровольное страхование в размере 1%. В соответствии с пунктом 1 статьи 705 Гражданского кодекса Российской Федерации риск случайной гибели или случайного повреждения объекта строительства, составляющего предмет строительного подряда, до приемки этого объекта заказчиком несет </w:t>
      </w:r>
      <w:r>
        <w:rPr>
          <w:rFonts w:ascii="Times New Roman" w:hAnsi="Times New Roman" w:cs="Times New Roman"/>
          <w:sz w:val="28"/>
          <w:szCs w:val="28"/>
        </w:rPr>
        <w:lastRenderedPageBreak/>
        <w:t>подрядчик. В связи с чем, рекомендовано пересмотреть объем финанс</w:t>
      </w:r>
      <w:r w:rsidR="00EF1027">
        <w:rPr>
          <w:rFonts w:ascii="Times New Roman" w:hAnsi="Times New Roman" w:cs="Times New Roman"/>
          <w:sz w:val="28"/>
          <w:szCs w:val="28"/>
        </w:rPr>
        <w:t>ирования указанного мероприятия</w:t>
      </w:r>
      <w:r w:rsidRPr="008F6580">
        <w:rPr>
          <w:rFonts w:ascii="Times New Roman" w:hAnsi="Times New Roman" w:cs="Times New Roman"/>
          <w:sz w:val="28"/>
          <w:szCs w:val="28"/>
        </w:rPr>
        <w:t>;</w:t>
      </w:r>
    </w:p>
    <w:p w:rsidR="006F60FA" w:rsidRPr="00BF3E8F" w:rsidRDefault="006F60FA" w:rsidP="006F60F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 рамках экспертизы одного из проектов изменений в муниципальную программу города Нефтеюганска «Развитие транспортной системы в городе Нефтеюганске на 2014-2020 годы» установлено, что п</w:t>
      </w:r>
      <w:r w:rsidRPr="00BF3E8F">
        <w:rPr>
          <w:rFonts w:ascii="Times New Roman" w:hAnsi="Times New Roman" w:cs="Times New Roman"/>
          <w:sz w:val="28"/>
          <w:szCs w:val="28"/>
        </w:rPr>
        <w:t>роектом изменений планир</w:t>
      </w:r>
      <w:r>
        <w:rPr>
          <w:rFonts w:ascii="Times New Roman" w:hAnsi="Times New Roman" w:cs="Times New Roman"/>
          <w:sz w:val="28"/>
          <w:szCs w:val="28"/>
        </w:rPr>
        <w:t>овалось</w:t>
      </w:r>
      <w:r w:rsidRPr="00BF3E8F">
        <w:rPr>
          <w:rFonts w:ascii="Times New Roman" w:hAnsi="Times New Roman" w:cs="Times New Roman"/>
          <w:sz w:val="28"/>
          <w:szCs w:val="28"/>
        </w:rPr>
        <w:t xml:space="preserve"> увеличить финансирование мероприятия 1.1. «Строительство и реконструкция автомобильных дорог общего пользования местного значения» подпрограммы II «Автомобильные дороги» для осуществления авторского надзора за ходом выполнения строительных – монтажных работ по реконструкции объекта «Автодорога по ул. Набережная (от перекрестка ул. Ленина – ул. Гагарина до ул. Юганская</w:t>
      </w:r>
      <w:proofErr w:type="gramStart"/>
      <w:r w:rsidRPr="00BF3E8F">
        <w:rPr>
          <w:rFonts w:ascii="Times New Roman" w:hAnsi="Times New Roman" w:cs="Times New Roman"/>
          <w:sz w:val="28"/>
          <w:szCs w:val="28"/>
        </w:rPr>
        <w:t>)(</w:t>
      </w:r>
      <w:proofErr w:type="gramEnd"/>
      <w:r w:rsidRPr="00BF3E8F">
        <w:rPr>
          <w:rFonts w:ascii="Times New Roman" w:hAnsi="Times New Roman" w:cs="Times New Roman"/>
          <w:sz w:val="28"/>
          <w:szCs w:val="28"/>
        </w:rPr>
        <w:t>участок автодороги от перекрестка ул. Ленина – ул. Гагарина до ул. Молодежная»</w:t>
      </w:r>
      <w:r w:rsidR="00F36027">
        <w:rPr>
          <w:rFonts w:ascii="Times New Roman" w:hAnsi="Times New Roman" w:cs="Times New Roman"/>
          <w:sz w:val="28"/>
          <w:szCs w:val="28"/>
        </w:rPr>
        <w:t>)</w:t>
      </w:r>
      <w:r w:rsidRPr="00BF3E8F">
        <w:rPr>
          <w:rFonts w:ascii="Times New Roman" w:hAnsi="Times New Roman" w:cs="Times New Roman"/>
          <w:sz w:val="28"/>
          <w:szCs w:val="28"/>
        </w:rPr>
        <w:t>.</w:t>
      </w:r>
    </w:p>
    <w:p w:rsidR="006F60FA" w:rsidRDefault="006F60FA" w:rsidP="006F60F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Принимая во</w:t>
      </w:r>
      <w:r w:rsidRPr="00BF3E8F">
        <w:rPr>
          <w:rFonts w:ascii="Times New Roman" w:hAnsi="Times New Roman" w:cs="Times New Roman"/>
          <w:sz w:val="28"/>
          <w:szCs w:val="28"/>
        </w:rPr>
        <w:t xml:space="preserve"> внимание </w:t>
      </w:r>
      <w:r>
        <w:rPr>
          <w:rFonts w:ascii="Times New Roman" w:hAnsi="Times New Roman" w:cs="Times New Roman"/>
          <w:sz w:val="28"/>
          <w:szCs w:val="28"/>
        </w:rPr>
        <w:t>тот факт</w:t>
      </w:r>
      <w:r w:rsidRPr="00BF3E8F">
        <w:rPr>
          <w:rFonts w:ascii="Times New Roman" w:hAnsi="Times New Roman" w:cs="Times New Roman"/>
          <w:sz w:val="28"/>
          <w:szCs w:val="28"/>
        </w:rPr>
        <w:t>, что муниципальный контракт                        на выполнение работ по объекту «Автодорога по ул. Набережная (от перекрестка ул. Ленина – ул. Гагарина до ул. Юганская</w:t>
      </w:r>
      <w:proofErr w:type="gramStart"/>
      <w:r w:rsidRPr="00BF3E8F">
        <w:rPr>
          <w:rFonts w:ascii="Times New Roman" w:hAnsi="Times New Roman" w:cs="Times New Roman"/>
          <w:sz w:val="28"/>
          <w:szCs w:val="28"/>
        </w:rPr>
        <w:t>)(</w:t>
      </w:r>
      <w:proofErr w:type="gramEnd"/>
      <w:r w:rsidRPr="00BF3E8F">
        <w:rPr>
          <w:rFonts w:ascii="Times New Roman" w:hAnsi="Times New Roman" w:cs="Times New Roman"/>
          <w:sz w:val="28"/>
          <w:szCs w:val="28"/>
        </w:rPr>
        <w:t>участок автодороги от перекрестка ул. Ленина – ул. Гагарина до ул. Молодежная»</w:t>
      </w:r>
      <w:r w:rsidR="00F36027">
        <w:rPr>
          <w:rFonts w:ascii="Times New Roman" w:hAnsi="Times New Roman" w:cs="Times New Roman"/>
          <w:sz w:val="28"/>
          <w:szCs w:val="28"/>
        </w:rPr>
        <w:t>)</w:t>
      </w:r>
      <w:r w:rsidRPr="00BF3E8F">
        <w:rPr>
          <w:rFonts w:ascii="Times New Roman" w:hAnsi="Times New Roman" w:cs="Times New Roman"/>
          <w:sz w:val="28"/>
          <w:szCs w:val="28"/>
        </w:rPr>
        <w:t xml:space="preserve"> заключен 04.06.201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F3E8F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F3E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BF3E8F">
        <w:rPr>
          <w:rFonts w:ascii="Times New Roman" w:hAnsi="Times New Roman" w:cs="Times New Roman"/>
          <w:sz w:val="28"/>
          <w:szCs w:val="28"/>
        </w:rPr>
        <w:t>рок выполнения работ составляет 147 календарных дней, то есть до 29</w:t>
      </w:r>
      <w:r>
        <w:rPr>
          <w:rFonts w:ascii="Times New Roman" w:hAnsi="Times New Roman" w:cs="Times New Roman"/>
          <w:sz w:val="28"/>
          <w:szCs w:val="28"/>
        </w:rPr>
        <w:t>.10.</w:t>
      </w:r>
      <w:r w:rsidRPr="00BF3E8F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F3E8F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, а заключение Счетной палаты подготовлено 11.09.2014 года, </w:t>
      </w:r>
      <w:r w:rsidRPr="00BF3E8F">
        <w:rPr>
          <w:rFonts w:ascii="Times New Roman" w:hAnsi="Times New Roman" w:cs="Times New Roman"/>
          <w:sz w:val="28"/>
          <w:szCs w:val="28"/>
        </w:rPr>
        <w:t>рекоменд</w:t>
      </w:r>
      <w:r>
        <w:rPr>
          <w:rFonts w:ascii="Times New Roman" w:hAnsi="Times New Roman" w:cs="Times New Roman"/>
          <w:sz w:val="28"/>
          <w:szCs w:val="28"/>
        </w:rPr>
        <w:t>овано</w:t>
      </w:r>
      <w:r w:rsidRPr="00BF3E8F">
        <w:rPr>
          <w:rFonts w:ascii="Times New Roman" w:hAnsi="Times New Roman" w:cs="Times New Roman"/>
          <w:sz w:val="28"/>
          <w:szCs w:val="28"/>
        </w:rPr>
        <w:t xml:space="preserve"> ответственному исполнителю муниципальной программы до направления проекта изменений на утверждение, оценить целесообразность расходования бюджетных средств н</w:t>
      </w:r>
      <w:r>
        <w:rPr>
          <w:rFonts w:ascii="Times New Roman" w:hAnsi="Times New Roman" w:cs="Times New Roman"/>
          <w:sz w:val="28"/>
          <w:szCs w:val="28"/>
        </w:rPr>
        <w:t xml:space="preserve">а проведение авторского надзора. Учитывая рекомендации Счетной палаты, средства </w:t>
      </w:r>
      <w:r w:rsidR="00EF1027">
        <w:rPr>
          <w:rFonts w:ascii="Times New Roman" w:hAnsi="Times New Roman" w:cs="Times New Roman"/>
          <w:sz w:val="28"/>
          <w:szCs w:val="28"/>
        </w:rPr>
        <w:t xml:space="preserve">для осуществления авторского надзора </w:t>
      </w:r>
      <w:r>
        <w:rPr>
          <w:rFonts w:ascii="Times New Roman" w:hAnsi="Times New Roman" w:cs="Times New Roman"/>
          <w:sz w:val="28"/>
          <w:szCs w:val="28"/>
        </w:rPr>
        <w:t>исключены из проекта изменений муниципальной программы и из проекта изменений в бюджет города;</w:t>
      </w:r>
    </w:p>
    <w:p w:rsidR="005300A8" w:rsidRDefault="006F60FA" w:rsidP="005300A8">
      <w:pPr>
        <w:spacing w:after="12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5300A8">
        <w:rPr>
          <w:rFonts w:ascii="Times New Roman" w:hAnsi="Times New Roman" w:cs="Times New Roman"/>
          <w:sz w:val="28"/>
          <w:szCs w:val="28"/>
        </w:rPr>
        <w:t>В рамках экспертизы одного из проектов изменений</w:t>
      </w:r>
      <w:r w:rsidR="005300A8" w:rsidRPr="00EB4194">
        <w:rPr>
          <w:rFonts w:ascii="Times New Roman" w:hAnsi="Times New Roman" w:cs="Times New Roman"/>
          <w:sz w:val="28"/>
          <w:szCs w:val="28"/>
        </w:rPr>
        <w:t xml:space="preserve"> в муниципальную программу города Нефтеюганска «Управление муниципальным имуществом города Нефтеюганска на 2014-2020 годы»</w:t>
      </w:r>
      <w:r w:rsidR="005300A8">
        <w:rPr>
          <w:rFonts w:ascii="Times New Roman" w:hAnsi="Times New Roman" w:cs="Times New Roman"/>
          <w:sz w:val="28"/>
          <w:szCs w:val="28"/>
        </w:rPr>
        <w:t xml:space="preserve"> Счетной палатой рекомендовано рассмотреть вопрос о целесообразности приобретения в муниципальную казну специальной техники для последующей передачи </w:t>
      </w:r>
      <w:r w:rsidR="005300A8" w:rsidRPr="004E79D6">
        <w:rPr>
          <w:rFonts w:ascii="Times New Roman" w:hAnsi="Times New Roman" w:cs="Times New Roman"/>
          <w:sz w:val="28"/>
          <w:szCs w:val="28"/>
        </w:rPr>
        <w:t xml:space="preserve">НГ МУП «Универсал сервис» для выполнения комплексных работ по содержанию дорог общего </w:t>
      </w:r>
      <w:r w:rsidR="005300A8" w:rsidRPr="00F97049">
        <w:rPr>
          <w:rFonts w:ascii="Times New Roman" w:hAnsi="Times New Roman" w:cs="Times New Roman"/>
          <w:sz w:val="28"/>
          <w:szCs w:val="28"/>
        </w:rPr>
        <w:t>пользования, так как закупка услуг осуществляется с применением конкурентных процедур предусмотренных Федеральным</w:t>
      </w:r>
      <w:proofErr w:type="gramEnd"/>
      <w:r w:rsidR="005300A8" w:rsidRPr="00F97049">
        <w:rPr>
          <w:rFonts w:ascii="Times New Roman" w:hAnsi="Times New Roman" w:cs="Times New Roman"/>
          <w:sz w:val="28"/>
          <w:szCs w:val="28"/>
        </w:rPr>
        <w:t xml:space="preserve"> законом от 05.04.2013 № 44-ФЗ «О контрактной системе в сфере</w:t>
      </w:r>
      <w:r w:rsidR="005300A8" w:rsidRPr="004E79D6">
        <w:rPr>
          <w:rFonts w:ascii="Times New Roman" w:hAnsi="Times New Roman" w:cs="Times New Roman"/>
          <w:sz w:val="28"/>
          <w:szCs w:val="28"/>
        </w:rPr>
        <w:t xml:space="preserve"> закупок товаров, работ, услуг для обеспечения госуда</w:t>
      </w:r>
      <w:r w:rsidR="005300A8">
        <w:rPr>
          <w:rFonts w:ascii="Times New Roman" w:hAnsi="Times New Roman" w:cs="Times New Roman"/>
          <w:sz w:val="28"/>
          <w:szCs w:val="28"/>
        </w:rPr>
        <w:t xml:space="preserve">рственных и муниципальных нужд», в </w:t>
      </w:r>
      <w:proofErr w:type="gramStart"/>
      <w:r w:rsidR="005300A8">
        <w:rPr>
          <w:rFonts w:ascii="Times New Roman" w:hAnsi="Times New Roman" w:cs="Times New Roman"/>
          <w:sz w:val="28"/>
          <w:szCs w:val="28"/>
        </w:rPr>
        <w:t>связи</w:t>
      </w:r>
      <w:proofErr w:type="gramEnd"/>
      <w:r w:rsidR="005300A8">
        <w:rPr>
          <w:rFonts w:ascii="Times New Roman" w:hAnsi="Times New Roman" w:cs="Times New Roman"/>
          <w:sz w:val="28"/>
          <w:szCs w:val="28"/>
        </w:rPr>
        <w:t xml:space="preserve"> с чем </w:t>
      </w:r>
      <w:r w:rsidR="005300A8" w:rsidRPr="004E79D6">
        <w:rPr>
          <w:rFonts w:ascii="Times New Roman" w:hAnsi="Times New Roman" w:cs="Times New Roman"/>
          <w:sz w:val="28"/>
          <w:szCs w:val="28"/>
        </w:rPr>
        <w:t>сделать вывод о том, какой исполнитель будет оказывать услуги по содержанию дорог невозможно</w:t>
      </w:r>
      <w:r w:rsidR="005300A8">
        <w:rPr>
          <w:rFonts w:ascii="Times New Roman" w:hAnsi="Times New Roman" w:cs="Times New Roman"/>
          <w:sz w:val="28"/>
          <w:szCs w:val="28"/>
        </w:rPr>
        <w:t xml:space="preserve">. Учитывая рекомендации Счетной палаты, средства </w:t>
      </w:r>
      <w:r w:rsidR="00EF1027">
        <w:rPr>
          <w:rFonts w:ascii="Times New Roman" w:hAnsi="Times New Roman" w:cs="Times New Roman"/>
          <w:sz w:val="28"/>
          <w:szCs w:val="28"/>
        </w:rPr>
        <w:t xml:space="preserve">на приобретение указанных основных средств </w:t>
      </w:r>
      <w:r w:rsidR="005300A8">
        <w:rPr>
          <w:rFonts w:ascii="Times New Roman" w:hAnsi="Times New Roman" w:cs="Times New Roman"/>
          <w:sz w:val="28"/>
          <w:szCs w:val="28"/>
        </w:rPr>
        <w:t xml:space="preserve">из программы исключены. </w:t>
      </w:r>
    </w:p>
    <w:p w:rsidR="009B0F57" w:rsidRDefault="00801C0F" w:rsidP="005300A8">
      <w:pPr>
        <w:pStyle w:val="ad"/>
        <w:spacing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В отчетном периоде проведены </w:t>
      </w:r>
      <w:r w:rsidRPr="00801C0F">
        <w:rPr>
          <w:rFonts w:ascii="Times New Roman" w:eastAsia="Times New Roman" w:hAnsi="Times New Roman" w:cs="Times New Roman"/>
          <w:color w:val="000000"/>
          <w:sz w:val="28"/>
          <w:szCs w:val="28"/>
        </w:rPr>
        <w:t>финансово-экономическ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экспертизы</w:t>
      </w:r>
      <w:r w:rsidRPr="00801C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проектов муниципальных правовых актов (включая обоснованность финансово-экономических обоснований) в части, касающейся расходных обязательств муниципального образования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Всего по итогам указанных экспертиз подготовлено 30 заключений</w:t>
      </w:r>
      <w:r w:rsidR="009B0F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(18%</w:t>
      </w:r>
      <w:r w:rsidR="009B0F57" w:rsidRPr="009B0F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B0F57">
        <w:rPr>
          <w:rFonts w:ascii="Times New Roman" w:eastAsia="Times New Roman" w:hAnsi="Times New Roman" w:cs="Times New Roman"/>
          <w:color w:val="000000"/>
          <w:sz w:val="28"/>
          <w:szCs w:val="28"/>
        </w:rPr>
        <w:t>от общего количества подготовленных заключений)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4A431D" w:rsidRDefault="009B0F57" w:rsidP="004A431D">
      <w:pPr>
        <w:spacing w:after="0"/>
        <w:ind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</w:t>
      </w:r>
      <w:proofErr w:type="gramStart"/>
      <w:r>
        <w:rPr>
          <w:rFonts w:ascii="Times New Roman" w:hAnsi="Times New Roman" w:cs="Times New Roman"/>
          <w:sz w:val="28"/>
          <w:szCs w:val="28"/>
        </w:rPr>
        <w:t>э</w:t>
      </w:r>
      <w:r w:rsidRPr="009B0F57">
        <w:rPr>
          <w:rFonts w:ascii="Times New Roman" w:hAnsi="Times New Roman" w:cs="Times New Roman"/>
          <w:sz w:val="28"/>
          <w:szCs w:val="28"/>
        </w:rPr>
        <w:t>кспертиз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B0F57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9B0F57">
        <w:rPr>
          <w:rFonts w:ascii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9B0F57">
        <w:rPr>
          <w:rFonts w:ascii="Times New Roman" w:hAnsi="Times New Roman" w:cs="Times New Roman"/>
          <w:sz w:val="28"/>
          <w:szCs w:val="28"/>
        </w:rPr>
        <w:t xml:space="preserve"> Думы </w:t>
      </w:r>
      <w:r w:rsidRPr="009B0F57">
        <w:rPr>
          <w:rFonts w:ascii="Times New Roman" w:eastAsia="Times New Roman" w:hAnsi="Times New Roman" w:cs="Times New Roman"/>
          <w:sz w:val="28"/>
          <w:szCs w:val="28"/>
        </w:rPr>
        <w:t>города</w:t>
      </w:r>
      <w:proofErr w:type="gramEnd"/>
      <w:r w:rsidRPr="009B0F57">
        <w:rPr>
          <w:rFonts w:ascii="Times New Roman" w:eastAsia="Times New Roman" w:hAnsi="Times New Roman" w:cs="Times New Roman"/>
          <w:sz w:val="28"/>
          <w:szCs w:val="28"/>
        </w:rPr>
        <w:t xml:space="preserve">  Нефтеюганска «О внесении изменений в решение Думы города Нефтеюганска от 24.12.2013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9B0F57">
        <w:rPr>
          <w:rFonts w:ascii="Times New Roman" w:eastAsia="Times New Roman" w:hAnsi="Times New Roman" w:cs="Times New Roman"/>
          <w:sz w:val="28"/>
          <w:szCs w:val="28"/>
        </w:rPr>
        <w:t>№ 710-V «О бюджете города Нефтеюганска на 2014 год и плановый период 2015 и 2016 годов»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подготовлено</w:t>
      </w:r>
      <w:r w:rsidR="005300A8">
        <w:rPr>
          <w:rFonts w:ascii="Times New Roman" w:eastAsia="Times New Roman" w:hAnsi="Times New Roman" w:cs="Times New Roman"/>
          <w:sz w:val="28"/>
          <w:szCs w:val="28"/>
        </w:rPr>
        <w:t xml:space="preserve"> 11 заключений (6,9 % </w:t>
      </w:r>
      <w:r w:rsidR="005300A8">
        <w:rPr>
          <w:rFonts w:ascii="Times New Roman" w:eastAsia="Times New Roman" w:hAnsi="Times New Roman" w:cs="Times New Roman"/>
          <w:color w:val="000000"/>
          <w:sz w:val="28"/>
          <w:szCs w:val="28"/>
        </w:rPr>
        <w:t>от общего количества подготовленных заключений</w:t>
      </w:r>
      <w:r w:rsidR="005300A8">
        <w:rPr>
          <w:rFonts w:ascii="Times New Roman" w:eastAsia="Times New Roman" w:hAnsi="Times New Roman" w:cs="Times New Roman"/>
          <w:sz w:val="28"/>
          <w:szCs w:val="28"/>
        </w:rPr>
        <w:t>)</w:t>
      </w:r>
      <w:r w:rsidR="007379F9">
        <w:rPr>
          <w:rFonts w:ascii="Times New Roman" w:eastAsia="Times New Roman" w:hAnsi="Times New Roman" w:cs="Times New Roman"/>
          <w:sz w:val="28"/>
          <w:szCs w:val="28"/>
        </w:rPr>
        <w:t xml:space="preserve">. По результатам экспертизы </w:t>
      </w:r>
      <w:r w:rsidR="004A431D">
        <w:rPr>
          <w:rFonts w:ascii="Times New Roman" w:eastAsia="Times New Roman" w:hAnsi="Times New Roman" w:cs="Times New Roman"/>
          <w:sz w:val="28"/>
          <w:szCs w:val="28"/>
        </w:rPr>
        <w:t xml:space="preserve">предотвращены расходы, планируемые к осуществлению в нарушение нормативных правовых актов, на сумму </w:t>
      </w:r>
      <w:r w:rsidR="004A431D" w:rsidRPr="004A431D">
        <w:rPr>
          <w:rFonts w:ascii="Times New Roman" w:eastAsia="Times New Roman" w:hAnsi="Times New Roman" w:cs="Times New Roman"/>
          <w:b/>
          <w:sz w:val="28"/>
          <w:szCs w:val="28"/>
        </w:rPr>
        <w:t>88 545,368 тыс. рублей</w:t>
      </w:r>
      <w:r w:rsidR="004A431D">
        <w:rPr>
          <w:rFonts w:ascii="Times New Roman" w:eastAsia="Times New Roman" w:hAnsi="Times New Roman" w:cs="Times New Roman"/>
          <w:sz w:val="28"/>
          <w:szCs w:val="28"/>
        </w:rPr>
        <w:t>, в том числе:</w:t>
      </w:r>
    </w:p>
    <w:p w:rsidR="004A431D" w:rsidRDefault="004A431D" w:rsidP="004A431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34E00">
        <w:rPr>
          <w:rFonts w:ascii="Times New Roman" w:hAnsi="Times New Roman" w:cs="Times New Roman"/>
          <w:sz w:val="28"/>
          <w:szCs w:val="28"/>
        </w:rPr>
        <w:t>о департаменту градостроительства администрации города Нефтеюганска отраж</w:t>
      </w:r>
      <w:r>
        <w:rPr>
          <w:rFonts w:ascii="Times New Roman" w:hAnsi="Times New Roman" w:cs="Times New Roman"/>
          <w:sz w:val="28"/>
          <w:szCs w:val="28"/>
        </w:rPr>
        <w:t>ались</w:t>
      </w:r>
      <w:r w:rsidRPr="00134E00">
        <w:rPr>
          <w:rFonts w:ascii="Times New Roman" w:hAnsi="Times New Roman" w:cs="Times New Roman"/>
          <w:sz w:val="28"/>
          <w:szCs w:val="28"/>
        </w:rPr>
        <w:t xml:space="preserve"> расходы резервных фондов местных администраций, выделенных по распоряжениям администрации города Нефтеюганска в сумме 3</w:t>
      </w:r>
      <w:r w:rsidR="00F36027">
        <w:rPr>
          <w:rFonts w:ascii="Times New Roman" w:hAnsi="Times New Roman" w:cs="Times New Roman"/>
          <w:sz w:val="28"/>
          <w:szCs w:val="28"/>
        </w:rPr>
        <w:t> </w:t>
      </w:r>
      <w:r w:rsidRPr="00134E00">
        <w:rPr>
          <w:rFonts w:ascii="Times New Roman" w:hAnsi="Times New Roman" w:cs="Times New Roman"/>
          <w:sz w:val="28"/>
          <w:szCs w:val="28"/>
        </w:rPr>
        <w:t>304</w:t>
      </w:r>
      <w:r w:rsidR="00F36027">
        <w:rPr>
          <w:rFonts w:ascii="Times New Roman" w:hAnsi="Times New Roman" w:cs="Times New Roman"/>
          <w:sz w:val="28"/>
          <w:szCs w:val="28"/>
        </w:rPr>
        <w:t>,</w:t>
      </w:r>
      <w:r w:rsidRPr="00134E00">
        <w:rPr>
          <w:rFonts w:ascii="Times New Roman" w:hAnsi="Times New Roman" w:cs="Times New Roman"/>
          <w:sz w:val="28"/>
          <w:szCs w:val="28"/>
        </w:rPr>
        <w:t xml:space="preserve">568 </w:t>
      </w:r>
      <w:r w:rsidR="00F36027">
        <w:rPr>
          <w:rFonts w:ascii="Times New Roman" w:hAnsi="Times New Roman" w:cs="Times New Roman"/>
          <w:sz w:val="28"/>
          <w:szCs w:val="28"/>
        </w:rPr>
        <w:t xml:space="preserve">тыс. </w:t>
      </w:r>
      <w:r w:rsidRPr="00134E00">
        <w:rPr>
          <w:rFonts w:ascii="Times New Roman" w:hAnsi="Times New Roman" w:cs="Times New Roman"/>
          <w:sz w:val="28"/>
          <w:szCs w:val="28"/>
        </w:rPr>
        <w:t>рублей. Данное отражение расходов вле</w:t>
      </w:r>
      <w:r>
        <w:rPr>
          <w:rFonts w:ascii="Times New Roman" w:hAnsi="Times New Roman" w:cs="Times New Roman"/>
          <w:sz w:val="28"/>
          <w:szCs w:val="28"/>
        </w:rPr>
        <w:t>кло</w:t>
      </w:r>
      <w:r w:rsidRPr="00134E00">
        <w:rPr>
          <w:rFonts w:ascii="Times New Roman" w:hAnsi="Times New Roman" w:cs="Times New Roman"/>
          <w:sz w:val="28"/>
          <w:szCs w:val="28"/>
        </w:rPr>
        <w:t xml:space="preserve"> изменение величины резервного фонда и </w:t>
      </w:r>
      <w:r>
        <w:rPr>
          <w:rFonts w:ascii="Times New Roman" w:hAnsi="Times New Roman" w:cs="Times New Roman"/>
          <w:sz w:val="28"/>
          <w:szCs w:val="28"/>
        </w:rPr>
        <w:t>могло привести</w:t>
      </w:r>
      <w:r w:rsidRPr="00134E00">
        <w:rPr>
          <w:rFonts w:ascii="Times New Roman" w:hAnsi="Times New Roman" w:cs="Times New Roman"/>
          <w:sz w:val="28"/>
          <w:szCs w:val="28"/>
        </w:rPr>
        <w:t xml:space="preserve"> к нарушению постановления администрации города Нефтеюганска от 10.01.2014 № 4-нп «О порядке </w:t>
      </w:r>
      <w:proofErr w:type="gramStart"/>
      <w:r w:rsidRPr="00134E00">
        <w:rPr>
          <w:rFonts w:ascii="Times New Roman" w:hAnsi="Times New Roman" w:cs="Times New Roman"/>
          <w:sz w:val="28"/>
          <w:szCs w:val="28"/>
        </w:rPr>
        <w:t>использования бюджетных ассигнований резервного фонда администрации города Нефтеюганска</w:t>
      </w:r>
      <w:proofErr w:type="gramEnd"/>
      <w:r w:rsidRPr="00134E00">
        <w:rPr>
          <w:rFonts w:ascii="Times New Roman" w:hAnsi="Times New Roman" w:cs="Times New Roman"/>
          <w:sz w:val="28"/>
          <w:szCs w:val="28"/>
        </w:rPr>
        <w:t>».</w:t>
      </w:r>
    </w:p>
    <w:p w:rsidR="00F206D4" w:rsidRDefault="004A431D" w:rsidP="004A431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206">
        <w:rPr>
          <w:rFonts w:ascii="Times New Roman" w:hAnsi="Times New Roman" w:cs="Times New Roman"/>
          <w:sz w:val="28"/>
          <w:szCs w:val="28"/>
        </w:rPr>
        <w:t xml:space="preserve">Счетной палатой рекомендовано департаменту финансов администрации города Нефтеюганска </w:t>
      </w:r>
      <w:proofErr w:type="gramStart"/>
      <w:r w:rsidRPr="006F2206">
        <w:rPr>
          <w:rFonts w:ascii="Times New Roman" w:hAnsi="Times New Roman" w:cs="Times New Roman"/>
          <w:sz w:val="28"/>
          <w:szCs w:val="28"/>
        </w:rPr>
        <w:t>предусмотреть</w:t>
      </w:r>
      <w:proofErr w:type="gramEnd"/>
      <w:r w:rsidRPr="006F2206">
        <w:rPr>
          <w:rFonts w:ascii="Times New Roman" w:hAnsi="Times New Roman" w:cs="Times New Roman"/>
          <w:sz w:val="28"/>
          <w:szCs w:val="28"/>
        </w:rPr>
        <w:t xml:space="preserve"> по расходам отдельные целевые статьи. Рекомендации до принятия решения Думы города Нефтеюганска учтены, в результате чего предотвращено нарушение муниципального правового акта на сумму 3</w:t>
      </w:r>
      <w:r w:rsidR="00F36027">
        <w:rPr>
          <w:rFonts w:ascii="Times New Roman" w:hAnsi="Times New Roman" w:cs="Times New Roman"/>
          <w:sz w:val="28"/>
          <w:szCs w:val="28"/>
        </w:rPr>
        <w:t> </w:t>
      </w:r>
      <w:r w:rsidRPr="006F2206">
        <w:rPr>
          <w:rFonts w:ascii="Times New Roman" w:hAnsi="Times New Roman" w:cs="Times New Roman"/>
          <w:sz w:val="28"/>
          <w:szCs w:val="28"/>
        </w:rPr>
        <w:t>304</w:t>
      </w:r>
      <w:r w:rsidR="00F36027">
        <w:rPr>
          <w:rFonts w:ascii="Times New Roman" w:hAnsi="Times New Roman" w:cs="Times New Roman"/>
          <w:sz w:val="28"/>
          <w:szCs w:val="28"/>
        </w:rPr>
        <w:t>,</w:t>
      </w:r>
      <w:r w:rsidRPr="006F2206">
        <w:rPr>
          <w:rFonts w:ascii="Times New Roman" w:hAnsi="Times New Roman" w:cs="Times New Roman"/>
          <w:sz w:val="28"/>
          <w:szCs w:val="28"/>
        </w:rPr>
        <w:t xml:space="preserve">568 </w:t>
      </w:r>
      <w:r w:rsidR="00F36027">
        <w:rPr>
          <w:rFonts w:ascii="Times New Roman" w:hAnsi="Times New Roman" w:cs="Times New Roman"/>
          <w:sz w:val="28"/>
          <w:szCs w:val="28"/>
        </w:rPr>
        <w:t xml:space="preserve">тыс. </w:t>
      </w:r>
      <w:r w:rsidRPr="006F2206">
        <w:rPr>
          <w:rFonts w:ascii="Times New Roman" w:hAnsi="Times New Roman" w:cs="Times New Roman"/>
          <w:sz w:val="28"/>
          <w:szCs w:val="28"/>
        </w:rPr>
        <w:t>рублей</w:t>
      </w:r>
      <w:r w:rsidR="00F206D4">
        <w:rPr>
          <w:rFonts w:ascii="Times New Roman" w:hAnsi="Times New Roman" w:cs="Times New Roman"/>
          <w:sz w:val="28"/>
          <w:szCs w:val="28"/>
        </w:rPr>
        <w:t>;</w:t>
      </w:r>
    </w:p>
    <w:p w:rsidR="00CD646C" w:rsidRDefault="00F206D4" w:rsidP="004A431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 рамках проекта изменений в бюджет, планировалось выделение бюджетных средств на капитальный ремонт дорог общего пользования города Нефтеюганска</w:t>
      </w:r>
      <w:r w:rsidR="00CD646C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CD646C" w:rsidRPr="00CD646C">
        <w:rPr>
          <w:rFonts w:ascii="Times New Roman" w:hAnsi="Times New Roman" w:cs="Times New Roman"/>
          <w:sz w:val="28"/>
          <w:szCs w:val="28"/>
        </w:rPr>
        <w:t>85</w:t>
      </w:r>
      <w:r w:rsidR="00CD646C">
        <w:rPr>
          <w:rFonts w:ascii="Times New Roman" w:hAnsi="Times New Roman" w:cs="Times New Roman"/>
          <w:sz w:val="28"/>
          <w:szCs w:val="28"/>
        </w:rPr>
        <w:t> </w:t>
      </w:r>
      <w:r w:rsidR="00CD646C" w:rsidRPr="00CD646C">
        <w:rPr>
          <w:rFonts w:ascii="Times New Roman" w:hAnsi="Times New Roman" w:cs="Times New Roman"/>
          <w:sz w:val="28"/>
          <w:szCs w:val="28"/>
        </w:rPr>
        <w:t>240</w:t>
      </w:r>
      <w:r w:rsidR="00CD646C">
        <w:rPr>
          <w:rFonts w:ascii="Times New Roman" w:hAnsi="Times New Roman" w:cs="Times New Roman"/>
          <w:sz w:val="28"/>
          <w:szCs w:val="28"/>
        </w:rPr>
        <w:t>,</w:t>
      </w:r>
      <w:r w:rsidR="00CD646C" w:rsidRPr="00CD646C">
        <w:rPr>
          <w:rFonts w:ascii="Times New Roman" w:hAnsi="Times New Roman" w:cs="Times New Roman"/>
          <w:sz w:val="28"/>
          <w:szCs w:val="28"/>
        </w:rPr>
        <w:t xml:space="preserve">800 </w:t>
      </w:r>
      <w:r w:rsidR="00CD646C">
        <w:rPr>
          <w:rFonts w:ascii="Times New Roman" w:hAnsi="Times New Roman" w:cs="Times New Roman"/>
          <w:sz w:val="28"/>
          <w:szCs w:val="28"/>
        </w:rPr>
        <w:t xml:space="preserve">тыс. </w:t>
      </w:r>
      <w:r w:rsidR="00CD646C" w:rsidRPr="00CD646C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A431D" w:rsidRPr="00134E00" w:rsidRDefault="00CD646C" w:rsidP="004A431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экспертизы установлено, что в нарушение Градостроительного кодекса </w:t>
      </w:r>
      <w:r w:rsidR="00F3602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оссийской Федерации проектная документация</w:t>
      </w:r>
      <w:r w:rsidRPr="00CD64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планируемые работы, прошедшая государственную экспертизу, отсутствовала.</w:t>
      </w:r>
      <w:r w:rsidR="00F206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связи с чем, указанные средства на капитальный ремонт дорог города не выделялись. </w:t>
      </w:r>
      <w:r w:rsidR="004A43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2E6A" w:rsidRDefault="00542E6A" w:rsidP="009500E8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910B0" w:rsidRDefault="00CD646C" w:rsidP="00CD646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Одним из основных полномочий Счетной палаты является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исполнением бюджета.</w:t>
      </w:r>
    </w:p>
    <w:p w:rsidR="001910B0" w:rsidRDefault="003477DE" w:rsidP="001910B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отчетном году проведены </w:t>
      </w:r>
      <w:r w:rsidR="001910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экспертно-аналитические мероприятия по проведению оперативного </w:t>
      </w:r>
      <w:proofErr w:type="gramStart"/>
      <w:r w:rsidR="001910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контроля за</w:t>
      </w:r>
      <w:proofErr w:type="gramEnd"/>
      <w:r w:rsidR="001910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ходом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</w:t>
      </w:r>
      <w:r w:rsidR="00415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бюджета города </w:t>
      </w:r>
      <w:r w:rsidR="001910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итогам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 квартал</w:t>
      </w:r>
      <w:r w:rsidR="001910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1 полугоди</w:t>
      </w:r>
      <w:r w:rsidR="001910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1910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910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месяцев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2014 года.</w:t>
      </w:r>
    </w:p>
    <w:p w:rsidR="00CD646C" w:rsidRPr="003477DE" w:rsidRDefault="00CD646C" w:rsidP="001910B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49D7">
        <w:rPr>
          <w:rFonts w:ascii="Times New Roman" w:eastAsia="Times New Roman" w:hAnsi="Times New Roman" w:cs="Times New Roman"/>
          <w:sz w:val="28"/>
          <w:szCs w:val="28"/>
        </w:rPr>
        <w:t xml:space="preserve">В ходе внешней проверки годового отчета об исполнении бюджета за 2013 год подготовлено 12 заключений по результатам внешней проверки </w:t>
      </w:r>
      <w:r w:rsidRPr="00CD49D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бюджетной отчетности по главным администраторам бюджетных средств, направлено </w:t>
      </w:r>
      <w:r w:rsidRPr="00CD49D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14</w:t>
      </w:r>
      <w:r w:rsidRPr="00CD49D7">
        <w:rPr>
          <w:rFonts w:ascii="Times New Roman" w:eastAsia="Times New Roman" w:hAnsi="Times New Roman" w:cs="Times New Roman"/>
          <w:sz w:val="28"/>
          <w:szCs w:val="28"/>
        </w:rPr>
        <w:t xml:space="preserve"> запросов о представлении информации, необходимой для подготовки заключения</w:t>
      </w:r>
      <w:r w:rsidRPr="00CD49D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D646C" w:rsidRPr="00DE16AC" w:rsidRDefault="00CD646C" w:rsidP="00CD646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6B7A">
        <w:rPr>
          <w:rFonts w:ascii="Times New Roman" w:eastAsia="Times New Roman" w:hAnsi="Times New Roman" w:cs="Times New Roman"/>
          <w:sz w:val="28"/>
          <w:szCs w:val="28"/>
        </w:rPr>
        <w:tab/>
        <w:t>В результате внешней проверки бюджетной отчетности главных р</w:t>
      </w:r>
      <w:r>
        <w:rPr>
          <w:rFonts w:ascii="Times New Roman" w:eastAsia="Times New Roman" w:hAnsi="Times New Roman" w:cs="Times New Roman"/>
          <w:sz w:val="28"/>
          <w:szCs w:val="28"/>
        </w:rPr>
        <w:t>аспорядителей бюджетных средств</w:t>
      </w:r>
      <w:r w:rsidRPr="006E6B7A">
        <w:rPr>
          <w:rFonts w:ascii="Times New Roman" w:eastAsia="Times New Roman" w:hAnsi="Times New Roman" w:cs="Times New Roman"/>
          <w:sz w:val="28"/>
          <w:szCs w:val="28"/>
        </w:rPr>
        <w:t xml:space="preserve"> за 2013 год выявлены нарушения, допущенные главными распорядителями  бюджетных средств, а именно:</w:t>
      </w:r>
    </w:p>
    <w:p w:rsidR="00CD646C" w:rsidRPr="006E6B7A" w:rsidRDefault="00CD646C" w:rsidP="00CD646C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E6B7A">
        <w:rPr>
          <w:rFonts w:ascii="Times New Roman" w:eastAsia="Times New Roman" w:hAnsi="Times New Roman" w:cs="Times New Roman"/>
          <w:sz w:val="28"/>
          <w:szCs w:val="28"/>
        </w:rPr>
        <w:tab/>
        <w:t>- неэффективное использование бюджетных средств, в виде оплаты судебных издержек, штрафов, пеней, не</w:t>
      </w:r>
      <w:r>
        <w:rPr>
          <w:rFonts w:ascii="Times New Roman" w:eastAsia="Times New Roman" w:hAnsi="Times New Roman" w:cs="Times New Roman"/>
          <w:sz w:val="28"/>
          <w:szCs w:val="28"/>
        </w:rPr>
        <w:t>доимо</w:t>
      </w:r>
      <w:r w:rsidRPr="006E6B7A"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9F11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4347F">
        <w:rPr>
          <w:rFonts w:ascii="Times New Roman" w:eastAsia="Times New Roman" w:hAnsi="Times New Roman" w:cs="Times New Roman"/>
          <w:sz w:val="28"/>
          <w:szCs w:val="28"/>
        </w:rPr>
        <w:t>возмещени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E4347F">
        <w:rPr>
          <w:rFonts w:ascii="Times New Roman" w:eastAsia="Times New Roman" w:hAnsi="Times New Roman" w:cs="Times New Roman"/>
          <w:sz w:val="28"/>
          <w:szCs w:val="28"/>
        </w:rPr>
        <w:t xml:space="preserve"> госпошлины по судебным искам</w:t>
      </w:r>
      <w:r w:rsidRPr="006E6B7A">
        <w:rPr>
          <w:rFonts w:ascii="Times New Roman" w:eastAsia="Times New Roman" w:hAnsi="Times New Roman" w:cs="Times New Roman"/>
          <w:sz w:val="28"/>
          <w:szCs w:val="28"/>
        </w:rPr>
        <w:t xml:space="preserve">  на общую сумму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="00F36027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007</w:t>
      </w:r>
      <w:r w:rsidR="00F36027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720</w:t>
      </w:r>
      <w:r w:rsidRPr="006E6B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36027">
        <w:rPr>
          <w:rFonts w:ascii="Times New Roman" w:eastAsia="Times New Roman" w:hAnsi="Times New Roman" w:cs="Times New Roman"/>
          <w:sz w:val="28"/>
          <w:szCs w:val="28"/>
        </w:rPr>
        <w:t xml:space="preserve">тыс. </w:t>
      </w:r>
      <w:r w:rsidRPr="006E6B7A">
        <w:rPr>
          <w:rFonts w:ascii="Times New Roman" w:eastAsia="Times New Roman" w:hAnsi="Times New Roman" w:cs="Times New Roman"/>
          <w:sz w:val="28"/>
          <w:szCs w:val="28"/>
        </w:rPr>
        <w:t>рублей;</w:t>
      </w:r>
    </w:p>
    <w:p w:rsidR="00CD646C" w:rsidRPr="006E6B7A" w:rsidRDefault="00CD646C" w:rsidP="00CD646C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E6B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E6B7A">
        <w:rPr>
          <w:rFonts w:ascii="Times New Roman" w:eastAsia="Times New Roman" w:hAnsi="Times New Roman" w:cs="Times New Roman"/>
          <w:sz w:val="28"/>
          <w:szCs w:val="28"/>
        </w:rPr>
        <w:tab/>
        <w:t>- увеличение  дебиторской задолженности по доходам, получаемым в виде арендной платы за земельные участки и имущество, а также по доходам от продажи земельных участков в целом на 57</w:t>
      </w:r>
      <w:r w:rsidR="00F36027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6E6B7A">
        <w:rPr>
          <w:rFonts w:ascii="Times New Roman" w:eastAsia="Times New Roman" w:hAnsi="Times New Roman" w:cs="Times New Roman"/>
          <w:sz w:val="28"/>
          <w:szCs w:val="28"/>
        </w:rPr>
        <w:t>188</w:t>
      </w:r>
      <w:r w:rsidR="00F36027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6E6B7A">
        <w:rPr>
          <w:rFonts w:ascii="Times New Roman" w:eastAsia="Times New Roman" w:hAnsi="Times New Roman" w:cs="Times New Roman"/>
          <w:sz w:val="28"/>
          <w:szCs w:val="28"/>
        </w:rPr>
        <w:t>057</w:t>
      </w:r>
      <w:r w:rsidR="00F36027"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D646C" w:rsidRDefault="00CD646C" w:rsidP="00CD646C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E6B7A"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 w:rsidRPr="006E6B7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>нарушения</w:t>
      </w:r>
      <w:r w:rsidRPr="006E6B7A">
        <w:rPr>
          <w:rFonts w:ascii="Times New Roman" w:eastAsia="Times New Roman" w:hAnsi="Times New Roman" w:cs="Times New Roman"/>
          <w:sz w:val="28"/>
          <w:szCs w:val="28"/>
        </w:rPr>
        <w:t xml:space="preserve"> требований </w:t>
      </w:r>
      <w:r w:rsidR="00F36027" w:rsidRPr="00CD49D7">
        <w:rPr>
          <w:rFonts w:ascii="Times New Roman" w:eastAsia="Times New Roman" w:hAnsi="Times New Roman" w:cs="Times New Roman"/>
          <w:sz w:val="28"/>
          <w:szCs w:val="28"/>
        </w:rPr>
        <w:t>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 Минфина</w:t>
      </w:r>
      <w:r w:rsidR="00F36027" w:rsidRPr="00CD49D7">
        <w:rPr>
          <w:rFonts w:ascii="Times New Roman" w:hAnsi="Times New Roman" w:cs="Times New Roman"/>
          <w:sz w:val="28"/>
          <w:szCs w:val="28"/>
        </w:rPr>
        <w:t xml:space="preserve"> от 28.12.2010  № 191н</w:t>
      </w:r>
      <w:r w:rsidRPr="006E6B7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выразившиеся</w:t>
      </w:r>
      <w:r w:rsidRPr="006E6B7A">
        <w:rPr>
          <w:rFonts w:ascii="Times New Roman" w:eastAsia="Times New Roman" w:hAnsi="Times New Roman" w:cs="Times New Roman"/>
          <w:sz w:val="28"/>
          <w:szCs w:val="28"/>
        </w:rPr>
        <w:t xml:space="preserve"> в неполном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неточном </w:t>
      </w:r>
      <w:r w:rsidRPr="006E6B7A">
        <w:rPr>
          <w:rFonts w:ascii="Times New Roman" w:eastAsia="Times New Roman" w:hAnsi="Times New Roman" w:cs="Times New Roman"/>
          <w:sz w:val="28"/>
          <w:szCs w:val="28"/>
        </w:rPr>
        <w:t xml:space="preserve">заполнении необходимых реквизитов </w:t>
      </w:r>
      <w:r>
        <w:rPr>
          <w:rFonts w:ascii="Times New Roman" w:eastAsia="Times New Roman" w:hAnsi="Times New Roman" w:cs="Times New Roman"/>
          <w:sz w:val="28"/>
          <w:szCs w:val="28"/>
        </w:rPr>
        <w:t>и показателей</w:t>
      </w:r>
      <w:r w:rsidRPr="006E6B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бюджетной </w:t>
      </w:r>
      <w:r w:rsidRPr="006E6B7A">
        <w:rPr>
          <w:rFonts w:ascii="Times New Roman" w:eastAsia="Times New Roman" w:hAnsi="Times New Roman" w:cs="Times New Roman"/>
          <w:sz w:val="28"/>
          <w:szCs w:val="28"/>
        </w:rPr>
        <w:t xml:space="preserve">отчетности,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 так же </w:t>
      </w:r>
      <w:r w:rsidRPr="006E6B7A">
        <w:rPr>
          <w:rFonts w:ascii="Times New Roman" w:eastAsia="Times New Roman" w:hAnsi="Times New Roman" w:cs="Times New Roman"/>
          <w:sz w:val="28"/>
          <w:szCs w:val="28"/>
        </w:rPr>
        <w:t>внутренней несогласованности соответствующих форм отчетности.</w:t>
      </w:r>
      <w:proofErr w:type="gramEnd"/>
    </w:p>
    <w:p w:rsidR="00CD646C" w:rsidRPr="00D90AC1" w:rsidRDefault="00CD646C" w:rsidP="009500E8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F0444" w:rsidRDefault="00D02577" w:rsidP="008E2CEA">
      <w:pPr>
        <w:spacing w:after="0" w:line="365" w:lineRule="atLeas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Раздел 4. Информационная деятельность</w:t>
      </w:r>
    </w:p>
    <w:p w:rsidR="00951D42" w:rsidRDefault="00951D42" w:rsidP="008E2CEA">
      <w:pPr>
        <w:pStyle w:val="ad"/>
        <w:spacing w:after="0" w:line="240" w:lineRule="auto"/>
        <w:ind w:firstLine="360"/>
        <w:jc w:val="center"/>
        <w:rPr>
          <w:rFonts w:ascii="Times New Roman" w:hAnsi="Times New Roman" w:cs="Times New Roman"/>
          <w:sz w:val="26"/>
          <w:szCs w:val="26"/>
        </w:rPr>
      </w:pPr>
    </w:p>
    <w:p w:rsidR="00951D42" w:rsidRPr="008E2CEA" w:rsidRDefault="00951D42" w:rsidP="00951D42">
      <w:pPr>
        <w:pStyle w:val="ad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2C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Информационная деятельность регламентирована статьей 19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Положением о Счетной палате. </w:t>
      </w:r>
    </w:p>
    <w:p w:rsidR="00951D42" w:rsidRPr="008E2CEA" w:rsidRDefault="00951D42" w:rsidP="00951D4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2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Главным направлением информационной деятельности является обеспечение доступа органов местного самоуправления и населения города к информации о деятельности Счетной палаты, о проведенных контрольных и экспертно-аналитических мероприятиях, о выявленных при их проведении нарушениях, о внесенных представлениях и предписаниях, а также о принятых по ним решениях и мерах.</w:t>
      </w:r>
      <w:r w:rsidR="008E2CEA" w:rsidRPr="008E2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51D42" w:rsidRPr="008E2CEA" w:rsidRDefault="00951D42" w:rsidP="00951D42">
      <w:pPr>
        <w:pStyle w:val="ad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2CEA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Информация о работе Счетной палаты заслушивалась на заседаниях Думы города ежеквартально в присутствии представителей средств массовой информации.</w:t>
      </w:r>
    </w:p>
    <w:p w:rsidR="008E2CEA" w:rsidRPr="008E2CEA" w:rsidRDefault="004973EB" w:rsidP="009500E8">
      <w:pPr>
        <w:spacing w:after="0" w:line="365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2014</w:t>
      </w:r>
      <w:r w:rsidR="009500E8" w:rsidRPr="008E2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 размещен</w:t>
      </w:r>
      <w:r w:rsidR="009500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9500E8" w:rsidRPr="008E2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официальном сайте органов местного самоуправления города Нефтеюганска </w:t>
      </w:r>
      <w:r w:rsidR="00823C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237 </w:t>
      </w:r>
      <w:r w:rsidR="00823C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материалов. Кроме того,</w:t>
      </w:r>
      <w:r w:rsidR="009500E8" w:rsidRPr="008E2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00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9500E8" w:rsidRPr="008E2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газете «Здравствуйте, нефтеюганцы!» </w:t>
      </w:r>
      <w:r w:rsidR="00823C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опубликован отчет о работе Счетной палаты за 201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823C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9500E8" w:rsidRPr="008E2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500E8" w:rsidRDefault="009500E8" w:rsidP="00D02577">
      <w:pPr>
        <w:spacing w:after="0" w:line="365" w:lineRule="atLeas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0F0444" w:rsidRDefault="00D02577" w:rsidP="008C75E5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Раздел 6. О</w:t>
      </w:r>
      <w:r w:rsidR="000F0444" w:rsidRPr="00D0257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рганизационная деятельность</w:t>
      </w:r>
    </w:p>
    <w:p w:rsidR="008C75E5" w:rsidRDefault="008C75E5" w:rsidP="008C75E5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B12AA" w:rsidRPr="00DA6919" w:rsidRDefault="00CB12AA" w:rsidP="008C75E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691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целях реализации положений </w:t>
      </w:r>
      <w:r w:rsidRPr="00DA6919">
        <w:rPr>
          <w:rFonts w:ascii="Times New Roman" w:hAnsi="Times New Roman" w:cs="Times New Roman"/>
          <w:sz w:val="28"/>
          <w:szCs w:val="28"/>
        </w:rPr>
        <w:t xml:space="preserve">Федерального закона от 07.02.2011 </w:t>
      </w:r>
      <w:r w:rsidR="00DA6919">
        <w:rPr>
          <w:rFonts w:ascii="Times New Roman" w:hAnsi="Times New Roman" w:cs="Times New Roman"/>
          <w:sz w:val="28"/>
          <w:szCs w:val="28"/>
        </w:rPr>
        <w:br/>
      </w:r>
      <w:r w:rsidRPr="00DA6919">
        <w:rPr>
          <w:rFonts w:ascii="Times New Roman" w:hAnsi="Times New Roman" w:cs="Times New Roman"/>
          <w:sz w:val="28"/>
          <w:szCs w:val="28"/>
        </w:rPr>
        <w:t xml:space="preserve">№ 6-ФЗ «Об общих принципах организации и деятельности контрольно-счетных органов субъектов Российской Федерации и муниципальных образований», Счетной  палатой проведена методическая работа по разработке Стандартов муниципального финансового контроля. </w:t>
      </w:r>
    </w:p>
    <w:p w:rsidR="00CB12AA" w:rsidRPr="00DA6919" w:rsidRDefault="00CB12AA" w:rsidP="008C75E5">
      <w:pPr>
        <w:pStyle w:val="ad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6919">
        <w:rPr>
          <w:rFonts w:ascii="Times New Roman" w:hAnsi="Times New Roman" w:cs="Times New Roman"/>
          <w:sz w:val="28"/>
          <w:szCs w:val="28"/>
        </w:rPr>
        <w:tab/>
        <w:t xml:space="preserve">Всего в отчетном году разработано и утверждено </w:t>
      </w:r>
      <w:r w:rsidR="00DA4F3E">
        <w:rPr>
          <w:rFonts w:ascii="Times New Roman" w:hAnsi="Times New Roman" w:cs="Times New Roman"/>
          <w:sz w:val="28"/>
          <w:szCs w:val="28"/>
        </w:rPr>
        <w:t>3</w:t>
      </w:r>
      <w:r w:rsidRPr="00DA6919">
        <w:rPr>
          <w:rFonts w:ascii="Times New Roman" w:hAnsi="Times New Roman" w:cs="Times New Roman"/>
          <w:sz w:val="28"/>
          <w:szCs w:val="28"/>
        </w:rPr>
        <w:t xml:space="preserve"> Стандарт</w:t>
      </w:r>
      <w:r w:rsidR="00DA4F3E">
        <w:rPr>
          <w:rFonts w:ascii="Times New Roman" w:hAnsi="Times New Roman" w:cs="Times New Roman"/>
          <w:sz w:val="28"/>
          <w:szCs w:val="28"/>
        </w:rPr>
        <w:t>а</w:t>
      </w:r>
      <w:r w:rsidRPr="00DA6919">
        <w:rPr>
          <w:rFonts w:ascii="Times New Roman" w:hAnsi="Times New Roman" w:cs="Times New Roman"/>
          <w:sz w:val="28"/>
          <w:szCs w:val="28"/>
        </w:rPr>
        <w:t xml:space="preserve"> муниципального финансового контроля, в том числе:</w:t>
      </w:r>
    </w:p>
    <w:p w:rsidR="00DA4F3E" w:rsidRPr="00DA4F3E" w:rsidRDefault="0044549B" w:rsidP="008C75E5">
      <w:pPr>
        <w:pStyle w:val="ad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6919">
        <w:rPr>
          <w:rFonts w:ascii="Times New Roman" w:hAnsi="Times New Roman" w:cs="Times New Roman"/>
          <w:sz w:val="28"/>
          <w:szCs w:val="28"/>
        </w:rPr>
        <w:t xml:space="preserve">- </w:t>
      </w:r>
      <w:r w:rsidR="00DA4F3E" w:rsidRPr="00DA4F3E">
        <w:rPr>
          <w:rFonts w:ascii="Times New Roman" w:hAnsi="Times New Roman" w:cs="Times New Roman"/>
          <w:sz w:val="28"/>
          <w:szCs w:val="28"/>
        </w:rPr>
        <w:t>Стандарт муниципального финансового контроля «Проведение аудита эффективности использования бюджетных средств»;</w:t>
      </w:r>
    </w:p>
    <w:p w:rsidR="00DA4F3E" w:rsidRPr="00DA4F3E" w:rsidRDefault="00DA4F3E" w:rsidP="008C75E5">
      <w:pPr>
        <w:pStyle w:val="ad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4F3E">
        <w:rPr>
          <w:rFonts w:ascii="Times New Roman" w:hAnsi="Times New Roman" w:cs="Times New Roman"/>
          <w:sz w:val="28"/>
          <w:szCs w:val="28"/>
        </w:rPr>
        <w:t>- Стандарт муниципального финансового контроля «Проведение совместных контрольных мероприятий»;</w:t>
      </w:r>
    </w:p>
    <w:p w:rsidR="00DA4F3E" w:rsidRPr="00DA4F3E" w:rsidRDefault="00DA4F3E" w:rsidP="008C75E5">
      <w:pPr>
        <w:pStyle w:val="ad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4F3E">
        <w:rPr>
          <w:rFonts w:ascii="Times New Roman" w:hAnsi="Times New Roman" w:cs="Times New Roman"/>
          <w:sz w:val="28"/>
          <w:szCs w:val="28"/>
        </w:rPr>
        <w:t>- Стандарт муниципального финансового контроля «Проведение финансово-экономической экспертизы проектов муниципальных правовых актов»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406D" w:rsidRPr="00DA6919" w:rsidRDefault="0094406D" w:rsidP="008C75E5">
      <w:pPr>
        <w:pStyle w:val="ad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6919">
        <w:rPr>
          <w:rFonts w:ascii="Times New Roman" w:hAnsi="Times New Roman" w:cs="Times New Roman"/>
          <w:sz w:val="28"/>
          <w:szCs w:val="28"/>
        </w:rPr>
        <w:t>Понимая тот факт, что высокий профессионализм работников является залогом успешного осуществления ими п</w:t>
      </w:r>
      <w:r w:rsidR="004D7513">
        <w:rPr>
          <w:rFonts w:ascii="Times New Roman" w:hAnsi="Times New Roman" w:cs="Times New Roman"/>
          <w:sz w:val="28"/>
          <w:szCs w:val="28"/>
        </w:rPr>
        <w:t>рактической деятельности, в 2014</w:t>
      </w:r>
      <w:r w:rsidRPr="00DA6919">
        <w:rPr>
          <w:rFonts w:ascii="Times New Roman" w:hAnsi="Times New Roman" w:cs="Times New Roman"/>
          <w:sz w:val="28"/>
          <w:szCs w:val="28"/>
        </w:rPr>
        <w:t xml:space="preserve"> году </w:t>
      </w:r>
      <w:r w:rsidR="004D7513">
        <w:rPr>
          <w:rFonts w:ascii="Times New Roman" w:hAnsi="Times New Roman" w:cs="Times New Roman"/>
          <w:sz w:val="28"/>
          <w:szCs w:val="28"/>
        </w:rPr>
        <w:t>3</w:t>
      </w:r>
      <w:r w:rsidRPr="00DA6919">
        <w:rPr>
          <w:rFonts w:ascii="Times New Roman" w:hAnsi="Times New Roman" w:cs="Times New Roman"/>
          <w:sz w:val="28"/>
          <w:szCs w:val="28"/>
        </w:rPr>
        <w:t xml:space="preserve"> сотрудник</w:t>
      </w:r>
      <w:r w:rsidR="004D7513">
        <w:rPr>
          <w:rFonts w:ascii="Times New Roman" w:hAnsi="Times New Roman" w:cs="Times New Roman"/>
          <w:sz w:val="28"/>
          <w:szCs w:val="28"/>
        </w:rPr>
        <w:t>а</w:t>
      </w:r>
      <w:r w:rsidRPr="00DA6919">
        <w:rPr>
          <w:rFonts w:ascii="Times New Roman" w:hAnsi="Times New Roman" w:cs="Times New Roman"/>
          <w:sz w:val="28"/>
          <w:szCs w:val="28"/>
        </w:rPr>
        <w:t xml:space="preserve"> Счетной палаты прошли курсы повышения квалификации.</w:t>
      </w:r>
    </w:p>
    <w:p w:rsidR="008C75E5" w:rsidRDefault="008C75E5" w:rsidP="008C75E5">
      <w:pPr>
        <w:spacing w:after="0" w:line="365" w:lineRule="atLeas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8C75E5" w:rsidRDefault="008C75E5" w:rsidP="008C75E5">
      <w:pPr>
        <w:spacing w:after="0" w:line="365" w:lineRule="atLeas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Раздел 5. В</w:t>
      </w:r>
      <w:r w:rsidRPr="00D0257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заимодействие</w:t>
      </w:r>
    </w:p>
    <w:p w:rsidR="008C75E5" w:rsidRDefault="008C75E5" w:rsidP="008C75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8C75E5" w:rsidRDefault="008C75E5" w:rsidP="008C75E5">
      <w:pPr>
        <w:pStyle w:val="ad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E2C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соответствии с  Соглашением о взаимодействии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E2C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Нефтеюганскую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ежрайонную прокуратуру направлены материалы по результатам</w:t>
      </w:r>
      <w:r w:rsidRPr="008E2C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всех </w:t>
      </w:r>
      <w:r w:rsidRPr="008E2CEA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контрольных мероприятий, проведенных в 201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8E2C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году. Согласно информации, предоставленной Нефтеюганской межрайонной прокуратурой, на основании материалов Счетной палаты в 201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8E2C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году в администрацию города Нефтеюганска внесено 5 представлений об устранении нарушений федерального законодательства, по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результатам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рассмотрения которых к дисциплинарной ответственности привлечено 5 должностных лиц. Кроме того, в отчетном периоде в отношении должностных лиц администрации города Нефтеюганска возбуждено 4 административных производства по части 2 статьи 7.32 и 2 административных производства по части 4 статьи 7.32  Кодекса об административных правонарушениях Российской Федерации. Во всех случаях виновные привлечены к административной ответственности в виде штрафа. </w:t>
      </w:r>
    </w:p>
    <w:p w:rsidR="008C75E5" w:rsidRDefault="008C75E5" w:rsidP="008C75E5">
      <w:pPr>
        <w:pStyle w:val="ad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2C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отчетном году Счетной палатой подписано соглашение о взаимодействии 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 отделением Службы по ХМАО РУ Федеральной службы безопасности России по Тюменской области</w:t>
      </w:r>
      <w:r w:rsidRPr="008E2CE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C75E5" w:rsidRPr="008E2CEA" w:rsidRDefault="008C75E5" w:rsidP="008C75E5">
      <w:pPr>
        <w:pStyle w:val="ad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протяжении всего года участвовали в совместных совещаниях с администрацией города Нефтеюганска, на которых обсуждались вопросы законности, обоснованности и эффективности планируемых расходов за счет городского бюджета, а также результаты контрольных мероприятий, проведенных Счетной палатой.</w:t>
      </w:r>
    </w:p>
    <w:p w:rsidR="008C75E5" w:rsidRPr="008E2CEA" w:rsidRDefault="008C75E5" w:rsidP="008C75E5">
      <w:pPr>
        <w:pStyle w:val="ad"/>
        <w:spacing w:after="0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2CE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E2CEA">
        <w:rPr>
          <w:rFonts w:ascii="Times New Roman" w:eastAsia="Times New Roman" w:hAnsi="Times New Roman" w:cs="Times New Roman"/>
          <w:color w:val="000000"/>
          <w:sz w:val="28"/>
          <w:szCs w:val="28"/>
        </w:rPr>
        <w:t>родолжал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ось</w:t>
      </w:r>
      <w:r w:rsidRPr="008E2C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сотрудниче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ство со Счетными палатами Ханты-Мансийского автономного округа - Югры.</w:t>
      </w:r>
      <w:r w:rsidRPr="008E2C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8E2C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заседаниях Совета органов внешнего финансового контроля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автономного округа обсуждались вопросы реализации полномочий, по актуальным проблемам правоприменительной практики и осуществлялся обмен опытом.</w:t>
      </w:r>
    </w:p>
    <w:p w:rsidR="008C75E5" w:rsidRPr="008E2CEA" w:rsidRDefault="008C75E5" w:rsidP="008C75E5">
      <w:pPr>
        <w:pStyle w:val="ad"/>
        <w:spacing w:after="0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10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Кроме того, председатель Счетной палаты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Гичкина С.А. </w:t>
      </w:r>
      <w:r w:rsidRPr="001910B0">
        <w:rPr>
          <w:rFonts w:ascii="Times New Roman" w:eastAsia="Times New Roman" w:hAnsi="Times New Roman" w:cs="Times New Roman"/>
          <w:color w:val="000000"/>
          <w:sz w:val="28"/>
          <w:szCs w:val="28"/>
        </w:rPr>
        <w:t>принял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1910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участие в X</w:t>
      </w:r>
      <w:r w:rsidRPr="001910B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1910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II Конференции Союза муниципальных контрольно – счетных органов Российской Федерации, проведенной в городе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Перми, где выступила с докладом</w:t>
      </w:r>
      <w:r w:rsidRPr="008E2C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теме: «Роль Счетных палат в предупреждении бюджетных нарушений».</w:t>
      </w:r>
    </w:p>
    <w:p w:rsidR="0094406D" w:rsidRDefault="0094406D" w:rsidP="008C75E5">
      <w:pPr>
        <w:pStyle w:val="ad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BC16CC" w:rsidRPr="00684C5B" w:rsidRDefault="00D27426" w:rsidP="00684C5B">
      <w:pPr>
        <w:ind w:firstLine="42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2742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заключении следует отметить, что создание эффективной системы финансового контроля невозможно без организации тесного взаимодействия всех ветвей власти. Только путем объединения усилий депутатского корпуса,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D274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дминистрации города и Счетной палаты возможно эффективное решение поставленных задач и создание надежной системы финансового контроля, способствующей реализации эффективного бюджетного процесса в городе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D274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его прозрачности.</w:t>
      </w:r>
    </w:p>
    <w:sectPr w:rsidR="00BC16CC" w:rsidRPr="00684C5B" w:rsidSect="007202FD">
      <w:headerReference w:type="default" r:id="rId12"/>
      <w:pgSz w:w="11906" w:h="16838"/>
      <w:pgMar w:top="567" w:right="851" w:bottom="45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FF4" w:rsidRDefault="00220FF4" w:rsidP="00724849">
      <w:pPr>
        <w:spacing w:after="0" w:line="240" w:lineRule="auto"/>
      </w:pPr>
      <w:r>
        <w:separator/>
      </w:r>
    </w:p>
  </w:endnote>
  <w:endnote w:type="continuationSeparator" w:id="0">
    <w:p w:rsidR="00220FF4" w:rsidRDefault="00220FF4" w:rsidP="00724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FF4" w:rsidRDefault="00220FF4" w:rsidP="00724849">
      <w:pPr>
        <w:spacing w:after="0" w:line="240" w:lineRule="auto"/>
      </w:pPr>
      <w:r>
        <w:separator/>
      </w:r>
    </w:p>
  </w:footnote>
  <w:footnote w:type="continuationSeparator" w:id="0">
    <w:p w:rsidR="00220FF4" w:rsidRDefault="00220FF4" w:rsidP="00724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41987"/>
      <w:docPartObj>
        <w:docPartGallery w:val="Page Numbers (Top of Page)"/>
        <w:docPartUnique/>
      </w:docPartObj>
    </w:sdtPr>
    <w:sdtEndPr/>
    <w:sdtContent>
      <w:p w:rsidR="0071416B" w:rsidRPr="007B5F4B" w:rsidRDefault="0071416B">
        <w:pPr>
          <w:pStyle w:val="aa"/>
          <w:jc w:val="center"/>
          <w:rPr>
            <w:rFonts w:ascii="Times New Roman" w:hAnsi="Times New Roman" w:cs="Times New Roman"/>
          </w:rPr>
        </w:pPr>
      </w:p>
      <w:p w:rsidR="0071416B" w:rsidRDefault="000007EB">
        <w:pPr>
          <w:pStyle w:val="aa"/>
          <w:jc w:val="center"/>
        </w:pPr>
        <w:r w:rsidRPr="007B5F4B">
          <w:rPr>
            <w:rFonts w:ascii="Times New Roman" w:hAnsi="Times New Roman" w:cs="Times New Roman"/>
          </w:rPr>
          <w:fldChar w:fldCharType="begin"/>
        </w:r>
        <w:r w:rsidR="0071416B" w:rsidRPr="007B5F4B">
          <w:rPr>
            <w:rFonts w:ascii="Times New Roman" w:hAnsi="Times New Roman" w:cs="Times New Roman"/>
          </w:rPr>
          <w:instrText xml:space="preserve"> PAGE   \* MERGEFORMAT </w:instrText>
        </w:r>
        <w:r w:rsidRPr="007B5F4B">
          <w:rPr>
            <w:rFonts w:ascii="Times New Roman" w:hAnsi="Times New Roman" w:cs="Times New Roman"/>
          </w:rPr>
          <w:fldChar w:fldCharType="separate"/>
        </w:r>
        <w:r w:rsidR="00684C5B">
          <w:rPr>
            <w:rFonts w:ascii="Times New Roman" w:hAnsi="Times New Roman" w:cs="Times New Roman"/>
            <w:noProof/>
          </w:rPr>
          <w:t>2</w:t>
        </w:r>
        <w:r w:rsidRPr="007B5F4B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71416B" w:rsidRDefault="0071416B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A74713"/>
    <w:multiLevelType w:val="multilevel"/>
    <w:tmpl w:val="A8A8B7D6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0444"/>
    <w:rsid w:val="000007EB"/>
    <w:rsid w:val="000008E7"/>
    <w:rsid w:val="00002197"/>
    <w:rsid w:val="00002A84"/>
    <w:rsid w:val="00031D0F"/>
    <w:rsid w:val="00045F0A"/>
    <w:rsid w:val="00051A10"/>
    <w:rsid w:val="00061345"/>
    <w:rsid w:val="00065640"/>
    <w:rsid w:val="00074C52"/>
    <w:rsid w:val="00083995"/>
    <w:rsid w:val="00090C35"/>
    <w:rsid w:val="00093C2D"/>
    <w:rsid w:val="000A55D5"/>
    <w:rsid w:val="000B1D28"/>
    <w:rsid w:val="000C02A8"/>
    <w:rsid w:val="000D16AE"/>
    <w:rsid w:val="000D2463"/>
    <w:rsid w:val="000D4DE0"/>
    <w:rsid w:val="000E5509"/>
    <w:rsid w:val="000F0444"/>
    <w:rsid w:val="000F61BE"/>
    <w:rsid w:val="00130443"/>
    <w:rsid w:val="00133582"/>
    <w:rsid w:val="00136B16"/>
    <w:rsid w:val="001434F0"/>
    <w:rsid w:val="00160329"/>
    <w:rsid w:val="001624DE"/>
    <w:rsid w:val="001733E0"/>
    <w:rsid w:val="00173CB1"/>
    <w:rsid w:val="001842B8"/>
    <w:rsid w:val="00184AB8"/>
    <w:rsid w:val="001910B0"/>
    <w:rsid w:val="0019271D"/>
    <w:rsid w:val="0019315C"/>
    <w:rsid w:val="001962FF"/>
    <w:rsid w:val="001A0B5C"/>
    <w:rsid w:val="001B1D15"/>
    <w:rsid w:val="001B40B6"/>
    <w:rsid w:val="001B488D"/>
    <w:rsid w:val="001C30B5"/>
    <w:rsid w:val="001C4443"/>
    <w:rsid w:val="001C46DD"/>
    <w:rsid w:val="001D4A46"/>
    <w:rsid w:val="001E64F0"/>
    <w:rsid w:val="001E6BFD"/>
    <w:rsid w:val="001E717D"/>
    <w:rsid w:val="001F511F"/>
    <w:rsid w:val="0021075D"/>
    <w:rsid w:val="00211FA5"/>
    <w:rsid w:val="00212BC5"/>
    <w:rsid w:val="00220FF4"/>
    <w:rsid w:val="00236080"/>
    <w:rsid w:val="00236F07"/>
    <w:rsid w:val="00243159"/>
    <w:rsid w:val="002549D2"/>
    <w:rsid w:val="00255D40"/>
    <w:rsid w:val="002619BD"/>
    <w:rsid w:val="00270B90"/>
    <w:rsid w:val="0027225A"/>
    <w:rsid w:val="00276824"/>
    <w:rsid w:val="00283894"/>
    <w:rsid w:val="00284376"/>
    <w:rsid w:val="002905DE"/>
    <w:rsid w:val="002C283B"/>
    <w:rsid w:val="00301B80"/>
    <w:rsid w:val="003138F4"/>
    <w:rsid w:val="00324AAA"/>
    <w:rsid w:val="003255DB"/>
    <w:rsid w:val="003306C6"/>
    <w:rsid w:val="003344E2"/>
    <w:rsid w:val="003477DE"/>
    <w:rsid w:val="00360205"/>
    <w:rsid w:val="0037045E"/>
    <w:rsid w:val="003738E1"/>
    <w:rsid w:val="0038742F"/>
    <w:rsid w:val="003902D1"/>
    <w:rsid w:val="00391491"/>
    <w:rsid w:val="00393CC5"/>
    <w:rsid w:val="003A2EB9"/>
    <w:rsid w:val="003A3DF7"/>
    <w:rsid w:val="003B7CB1"/>
    <w:rsid w:val="003C091C"/>
    <w:rsid w:val="003C0CEE"/>
    <w:rsid w:val="003C0E5B"/>
    <w:rsid w:val="003E60F8"/>
    <w:rsid w:val="003F3DA8"/>
    <w:rsid w:val="003F4627"/>
    <w:rsid w:val="003F764B"/>
    <w:rsid w:val="004020C1"/>
    <w:rsid w:val="00402D07"/>
    <w:rsid w:val="00404F98"/>
    <w:rsid w:val="00415BCD"/>
    <w:rsid w:val="00421C93"/>
    <w:rsid w:val="00426414"/>
    <w:rsid w:val="004322AC"/>
    <w:rsid w:val="00432D5F"/>
    <w:rsid w:val="00440A16"/>
    <w:rsid w:val="004416FE"/>
    <w:rsid w:val="0044549B"/>
    <w:rsid w:val="00454342"/>
    <w:rsid w:val="00464CC1"/>
    <w:rsid w:val="0046537E"/>
    <w:rsid w:val="0046710B"/>
    <w:rsid w:val="004752D7"/>
    <w:rsid w:val="00481653"/>
    <w:rsid w:val="0049213D"/>
    <w:rsid w:val="0049733C"/>
    <w:rsid w:val="004973EB"/>
    <w:rsid w:val="004A431D"/>
    <w:rsid w:val="004B3251"/>
    <w:rsid w:val="004C3419"/>
    <w:rsid w:val="004C4FEF"/>
    <w:rsid w:val="004D224C"/>
    <w:rsid w:val="004D7513"/>
    <w:rsid w:val="004F6375"/>
    <w:rsid w:val="00503597"/>
    <w:rsid w:val="00510A44"/>
    <w:rsid w:val="00510A92"/>
    <w:rsid w:val="00515163"/>
    <w:rsid w:val="005223D6"/>
    <w:rsid w:val="00526A3B"/>
    <w:rsid w:val="005300A8"/>
    <w:rsid w:val="00532035"/>
    <w:rsid w:val="00540E2F"/>
    <w:rsid w:val="00541F6C"/>
    <w:rsid w:val="00542E6A"/>
    <w:rsid w:val="0055155F"/>
    <w:rsid w:val="00570447"/>
    <w:rsid w:val="00573551"/>
    <w:rsid w:val="00583E2E"/>
    <w:rsid w:val="00584602"/>
    <w:rsid w:val="00595449"/>
    <w:rsid w:val="00596786"/>
    <w:rsid w:val="005A3B64"/>
    <w:rsid w:val="005C3415"/>
    <w:rsid w:val="005D253B"/>
    <w:rsid w:val="005D39CD"/>
    <w:rsid w:val="005E327B"/>
    <w:rsid w:val="005E3FC7"/>
    <w:rsid w:val="005F6D09"/>
    <w:rsid w:val="006005CA"/>
    <w:rsid w:val="00607460"/>
    <w:rsid w:val="0061505A"/>
    <w:rsid w:val="00615BD6"/>
    <w:rsid w:val="0062313B"/>
    <w:rsid w:val="00624111"/>
    <w:rsid w:val="006249B1"/>
    <w:rsid w:val="006441DE"/>
    <w:rsid w:val="00651324"/>
    <w:rsid w:val="00651DE6"/>
    <w:rsid w:val="00660372"/>
    <w:rsid w:val="00670BB3"/>
    <w:rsid w:val="00673E86"/>
    <w:rsid w:val="00684C5B"/>
    <w:rsid w:val="006A19BC"/>
    <w:rsid w:val="006A7294"/>
    <w:rsid w:val="006B0C13"/>
    <w:rsid w:val="006B6B8E"/>
    <w:rsid w:val="006C205A"/>
    <w:rsid w:val="006C3618"/>
    <w:rsid w:val="006D57F2"/>
    <w:rsid w:val="006D5A54"/>
    <w:rsid w:val="006E0E6E"/>
    <w:rsid w:val="006E1A1A"/>
    <w:rsid w:val="006E4F11"/>
    <w:rsid w:val="006F0141"/>
    <w:rsid w:val="006F60FA"/>
    <w:rsid w:val="00704A45"/>
    <w:rsid w:val="00711351"/>
    <w:rsid w:val="0071416B"/>
    <w:rsid w:val="00717E82"/>
    <w:rsid w:val="007202FD"/>
    <w:rsid w:val="00723FC5"/>
    <w:rsid w:val="0072440D"/>
    <w:rsid w:val="00724849"/>
    <w:rsid w:val="00736915"/>
    <w:rsid w:val="007379F9"/>
    <w:rsid w:val="00742C18"/>
    <w:rsid w:val="00750973"/>
    <w:rsid w:val="00756FF7"/>
    <w:rsid w:val="00771F47"/>
    <w:rsid w:val="00776AA9"/>
    <w:rsid w:val="00777CD4"/>
    <w:rsid w:val="007A39F0"/>
    <w:rsid w:val="007A5919"/>
    <w:rsid w:val="007B5F4B"/>
    <w:rsid w:val="007C0BE1"/>
    <w:rsid w:val="007C1418"/>
    <w:rsid w:val="007D0E80"/>
    <w:rsid w:val="007E45DE"/>
    <w:rsid w:val="007F2DC9"/>
    <w:rsid w:val="007F50A7"/>
    <w:rsid w:val="007F64EE"/>
    <w:rsid w:val="00801C0F"/>
    <w:rsid w:val="00801CD3"/>
    <w:rsid w:val="00802EDC"/>
    <w:rsid w:val="00805DD9"/>
    <w:rsid w:val="00810C7D"/>
    <w:rsid w:val="00820A1B"/>
    <w:rsid w:val="00823C3F"/>
    <w:rsid w:val="008261E6"/>
    <w:rsid w:val="0083464F"/>
    <w:rsid w:val="00834977"/>
    <w:rsid w:val="00834EC2"/>
    <w:rsid w:val="00837B9A"/>
    <w:rsid w:val="0084503E"/>
    <w:rsid w:val="00855E6E"/>
    <w:rsid w:val="00863867"/>
    <w:rsid w:val="00873269"/>
    <w:rsid w:val="0087423F"/>
    <w:rsid w:val="00877C63"/>
    <w:rsid w:val="008844CD"/>
    <w:rsid w:val="00892071"/>
    <w:rsid w:val="0089404E"/>
    <w:rsid w:val="00894498"/>
    <w:rsid w:val="008A5421"/>
    <w:rsid w:val="008A62D1"/>
    <w:rsid w:val="008B3914"/>
    <w:rsid w:val="008C29F2"/>
    <w:rsid w:val="008C345D"/>
    <w:rsid w:val="008C75E5"/>
    <w:rsid w:val="008E27E5"/>
    <w:rsid w:val="008E2CEA"/>
    <w:rsid w:val="008E40CC"/>
    <w:rsid w:val="00905FB3"/>
    <w:rsid w:val="0092275E"/>
    <w:rsid w:val="00930BAD"/>
    <w:rsid w:val="00940336"/>
    <w:rsid w:val="0094406D"/>
    <w:rsid w:val="00945C2A"/>
    <w:rsid w:val="009500E8"/>
    <w:rsid w:val="00951D42"/>
    <w:rsid w:val="00953D01"/>
    <w:rsid w:val="00953D87"/>
    <w:rsid w:val="00961661"/>
    <w:rsid w:val="009619A0"/>
    <w:rsid w:val="00967A20"/>
    <w:rsid w:val="00971ADF"/>
    <w:rsid w:val="00972CBD"/>
    <w:rsid w:val="009763BD"/>
    <w:rsid w:val="0097769A"/>
    <w:rsid w:val="00990100"/>
    <w:rsid w:val="00995CDB"/>
    <w:rsid w:val="00996E17"/>
    <w:rsid w:val="009A1536"/>
    <w:rsid w:val="009A46BB"/>
    <w:rsid w:val="009A4BAC"/>
    <w:rsid w:val="009B0F57"/>
    <w:rsid w:val="009B102F"/>
    <w:rsid w:val="009D185A"/>
    <w:rsid w:val="009D5A24"/>
    <w:rsid w:val="009E34FD"/>
    <w:rsid w:val="009E3B49"/>
    <w:rsid w:val="009E4C7E"/>
    <w:rsid w:val="009E5DA2"/>
    <w:rsid w:val="009F2E0F"/>
    <w:rsid w:val="00A07DB7"/>
    <w:rsid w:val="00A107F4"/>
    <w:rsid w:val="00A1398A"/>
    <w:rsid w:val="00A146F6"/>
    <w:rsid w:val="00A1572C"/>
    <w:rsid w:val="00A2366E"/>
    <w:rsid w:val="00A429C7"/>
    <w:rsid w:val="00A431AE"/>
    <w:rsid w:val="00A45456"/>
    <w:rsid w:val="00A50D13"/>
    <w:rsid w:val="00A54FAD"/>
    <w:rsid w:val="00A55A6C"/>
    <w:rsid w:val="00A732EC"/>
    <w:rsid w:val="00A83FEF"/>
    <w:rsid w:val="00AA11DB"/>
    <w:rsid w:val="00AB421B"/>
    <w:rsid w:val="00AB77C5"/>
    <w:rsid w:val="00AC09FA"/>
    <w:rsid w:val="00AC0B46"/>
    <w:rsid w:val="00AC5252"/>
    <w:rsid w:val="00AD05F7"/>
    <w:rsid w:val="00AD068E"/>
    <w:rsid w:val="00AF5FBB"/>
    <w:rsid w:val="00B03E25"/>
    <w:rsid w:val="00B04580"/>
    <w:rsid w:val="00B05CD0"/>
    <w:rsid w:val="00B1358C"/>
    <w:rsid w:val="00B1715D"/>
    <w:rsid w:val="00B30194"/>
    <w:rsid w:val="00B3319C"/>
    <w:rsid w:val="00B37548"/>
    <w:rsid w:val="00B415B2"/>
    <w:rsid w:val="00B44926"/>
    <w:rsid w:val="00B45004"/>
    <w:rsid w:val="00B61B58"/>
    <w:rsid w:val="00B704AA"/>
    <w:rsid w:val="00B73728"/>
    <w:rsid w:val="00B81D24"/>
    <w:rsid w:val="00B859A2"/>
    <w:rsid w:val="00B96774"/>
    <w:rsid w:val="00BA2D34"/>
    <w:rsid w:val="00BA6EF0"/>
    <w:rsid w:val="00BA74A2"/>
    <w:rsid w:val="00BB0778"/>
    <w:rsid w:val="00BB0CF3"/>
    <w:rsid w:val="00BC16CC"/>
    <w:rsid w:val="00BC7B78"/>
    <w:rsid w:val="00BE5457"/>
    <w:rsid w:val="00BE712C"/>
    <w:rsid w:val="00BE792C"/>
    <w:rsid w:val="00BF0FEB"/>
    <w:rsid w:val="00C01EBA"/>
    <w:rsid w:val="00C03687"/>
    <w:rsid w:val="00C05D95"/>
    <w:rsid w:val="00C05FA1"/>
    <w:rsid w:val="00C174D0"/>
    <w:rsid w:val="00C248CF"/>
    <w:rsid w:val="00C2693F"/>
    <w:rsid w:val="00C342A8"/>
    <w:rsid w:val="00C4750D"/>
    <w:rsid w:val="00C558CB"/>
    <w:rsid w:val="00C64AF3"/>
    <w:rsid w:val="00C774FC"/>
    <w:rsid w:val="00C8641F"/>
    <w:rsid w:val="00C903E4"/>
    <w:rsid w:val="00C93815"/>
    <w:rsid w:val="00CA00CD"/>
    <w:rsid w:val="00CA3584"/>
    <w:rsid w:val="00CA5FD6"/>
    <w:rsid w:val="00CA7EE9"/>
    <w:rsid w:val="00CB12AA"/>
    <w:rsid w:val="00CC3051"/>
    <w:rsid w:val="00CC45D6"/>
    <w:rsid w:val="00CC4C58"/>
    <w:rsid w:val="00CC7152"/>
    <w:rsid w:val="00CD646C"/>
    <w:rsid w:val="00CE4FAD"/>
    <w:rsid w:val="00CE5AC2"/>
    <w:rsid w:val="00CE6B92"/>
    <w:rsid w:val="00CF0BDB"/>
    <w:rsid w:val="00CF7F62"/>
    <w:rsid w:val="00D02577"/>
    <w:rsid w:val="00D02A96"/>
    <w:rsid w:val="00D02AC8"/>
    <w:rsid w:val="00D07D09"/>
    <w:rsid w:val="00D109BD"/>
    <w:rsid w:val="00D10C1E"/>
    <w:rsid w:val="00D14802"/>
    <w:rsid w:val="00D21BB5"/>
    <w:rsid w:val="00D246B0"/>
    <w:rsid w:val="00D27426"/>
    <w:rsid w:val="00D315D0"/>
    <w:rsid w:val="00D43054"/>
    <w:rsid w:val="00D431EC"/>
    <w:rsid w:val="00D5570C"/>
    <w:rsid w:val="00D6196A"/>
    <w:rsid w:val="00D62667"/>
    <w:rsid w:val="00D66B21"/>
    <w:rsid w:val="00D73938"/>
    <w:rsid w:val="00D76803"/>
    <w:rsid w:val="00D90296"/>
    <w:rsid w:val="00D90AC1"/>
    <w:rsid w:val="00D93717"/>
    <w:rsid w:val="00D95601"/>
    <w:rsid w:val="00D961D8"/>
    <w:rsid w:val="00D965F1"/>
    <w:rsid w:val="00DA4F3E"/>
    <w:rsid w:val="00DA6919"/>
    <w:rsid w:val="00DA75D1"/>
    <w:rsid w:val="00DC3A13"/>
    <w:rsid w:val="00DC43A5"/>
    <w:rsid w:val="00DD27A7"/>
    <w:rsid w:val="00DD44F2"/>
    <w:rsid w:val="00DD4E26"/>
    <w:rsid w:val="00DE143A"/>
    <w:rsid w:val="00DE182C"/>
    <w:rsid w:val="00DE2C78"/>
    <w:rsid w:val="00DF1D7C"/>
    <w:rsid w:val="00DF4578"/>
    <w:rsid w:val="00E03BDE"/>
    <w:rsid w:val="00E14997"/>
    <w:rsid w:val="00E31687"/>
    <w:rsid w:val="00E355A9"/>
    <w:rsid w:val="00E53EE6"/>
    <w:rsid w:val="00E55BA2"/>
    <w:rsid w:val="00E56E94"/>
    <w:rsid w:val="00E65987"/>
    <w:rsid w:val="00E803C3"/>
    <w:rsid w:val="00E81B15"/>
    <w:rsid w:val="00E869DD"/>
    <w:rsid w:val="00E971C5"/>
    <w:rsid w:val="00E9743D"/>
    <w:rsid w:val="00EA03A0"/>
    <w:rsid w:val="00EA066E"/>
    <w:rsid w:val="00EA089A"/>
    <w:rsid w:val="00EA3798"/>
    <w:rsid w:val="00EA5B46"/>
    <w:rsid w:val="00EB0E0E"/>
    <w:rsid w:val="00EC172B"/>
    <w:rsid w:val="00EC1D8D"/>
    <w:rsid w:val="00EC70B3"/>
    <w:rsid w:val="00ED152E"/>
    <w:rsid w:val="00ED1848"/>
    <w:rsid w:val="00EE0340"/>
    <w:rsid w:val="00EE5013"/>
    <w:rsid w:val="00EE6746"/>
    <w:rsid w:val="00EF0B53"/>
    <w:rsid w:val="00EF1027"/>
    <w:rsid w:val="00F008DD"/>
    <w:rsid w:val="00F069AC"/>
    <w:rsid w:val="00F17070"/>
    <w:rsid w:val="00F206D4"/>
    <w:rsid w:val="00F243D9"/>
    <w:rsid w:val="00F35243"/>
    <w:rsid w:val="00F3554E"/>
    <w:rsid w:val="00F36027"/>
    <w:rsid w:val="00F37764"/>
    <w:rsid w:val="00F40C87"/>
    <w:rsid w:val="00F45C2F"/>
    <w:rsid w:val="00F50D14"/>
    <w:rsid w:val="00F7378B"/>
    <w:rsid w:val="00F7579C"/>
    <w:rsid w:val="00F77699"/>
    <w:rsid w:val="00F77D20"/>
    <w:rsid w:val="00F803F5"/>
    <w:rsid w:val="00F93519"/>
    <w:rsid w:val="00FC19DE"/>
    <w:rsid w:val="00FC4A72"/>
    <w:rsid w:val="00FC7B53"/>
    <w:rsid w:val="00FD28F1"/>
    <w:rsid w:val="00FD6670"/>
    <w:rsid w:val="00FE01BC"/>
    <w:rsid w:val="00FE1D76"/>
    <w:rsid w:val="00FE2C0D"/>
    <w:rsid w:val="00FF3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444"/>
  </w:style>
  <w:style w:type="paragraph" w:styleId="1">
    <w:name w:val="heading 1"/>
    <w:basedOn w:val="a"/>
    <w:next w:val="a"/>
    <w:link w:val="10"/>
    <w:qFormat/>
    <w:rsid w:val="00D0257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025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footer"/>
    <w:basedOn w:val="a"/>
    <w:link w:val="a4"/>
    <w:unhideWhenUsed/>
    <w:rsid w:val="00D025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rsid w:val="00D02577"/>
  </w:style>
  <w:style w:type="character" w:styleId="a5">
    <w:name w:val="Strong"/>
    <w:basedOn w:val="a0"/>
    <w:uiPriority w:val="22"/>
    <w:qFormat/>
    <w:rsid w:val="001F511F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742C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42C18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rsid w:val="00A54FA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A54FA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7248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24849"/>
  </w:style>
  <w:style w:type="paragraph" w:styleId="ac">
    <w:name w:val="caption"/>
    <w:basedOn w:val="a"/>
    <w:next w:val="a"/>
    <w:uiPriority w:val="35"/>
    <w:semiHidden/>
    <w:unhideWhenUsed/>
    <w:qFormat/>
    <w:rsid w:val="001B1D1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2">
    <w:name w:val="Body Text 2"/>
    <w:basedOn w:val="a"/>
    <w:link w:val="20"/>
    <w:uiPriority w:val="99"/>
    <w:semiHidden/>
    <w:unhideWhenUsed/>
    <w:rsid w:val="00670BB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70BB3"/>
  </w:style>
  <w:style w:type="paragraph" w:styleId="ad">
    <w:name w:val="Body Text"/>
    <w:basedOn w:val="a"/>
    <w:link w:val="ae"/>
    <w:uiPriority w:val="99"/>
    <w:unhideWhenUsed/>
    <w:rsid w:val="00951D42"/>
    <w:pPr>
      <w:spacing w:after="120"/>
    </w:pPr>
    <w:rPr>
      <w:rFonts w:eastAsiaTheme="minorEastAsia"/>
      <w:lang w:eastAsia="ru-RU"/>
    </w:rPr>
  </w:style>
  <w:style w:type="character" w:customStyle="1" w:styleId="ae">
    <w:name w:val="Основной текст Знак"/>
    <w:basedOn w:val="a0"/>
    <w:link w:val="ad"/>
    <w:uiPriority w:val="99"/>
    <w:rsid w:val="00951D42"/>
    <w:rPr>
      <w:rFonts w:eastAsiaTheme="minorEastAsia"/>
      <w:lang w:eastAsia="ru-RU"/>
    </w:rPr>
  </w:style>
  <w:style w:type="character" w:styleId="af">
    <w:name w:val="Hyperlink"/>
    <w:basedOn w:val="a0"/>
    <w:semiHidden/>
    <w:rsid w:val="006441DE"/>
    <w:rPr>
      <w:color w:val="0000FF"/>
      <w:u w:val="single"/>
    </w:rPr>
  </w:style>
  <w:style w:type="paragraph" w:styleId="af0">
    <w:name w:val="Normal (Web)"/>
    <w:basedOn w:val="a"/>
    <w:uiPriority w:val="99"/>
    <w:rsid w:val="00953D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rsid w:val="00953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rsid w:val="00953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rsid w:val="00953D0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2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>
                <a:latin typeface="Times New Roman" pitchFamily="18" charset="0"/>
                <a:cs typeface="Times New Roman" pitchFamily="18" charset="0"/>
              </a:rPr>
              <a:t>Объем проверенных средств, тыс. руб.</a:t>
            </a:r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объем проверенных средств, тыс. руб.</c:v>
                </c:pt>
              </c:strCache>
            </c:strRef>
          </c:tx>
          <c:dLbls>
            <c:dLbl>
              <c:idx val="4"/>
              <c:layout>
                <c:manualLayout>
                  <c:x val="0"/>
                  <c:y val="-3.968253968253972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Лист1!$A$2:$A$6</c:f>
              <c:numCache>
                <c:formatCode>General</c:formatCode>
                <c:ptCount val="5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</c:numCache>
            </c:numRef>
          </c:cat>
          <c:val>
            <c:numRef>
              <c:f>Лист1!$B$2:$B$6</c:f>
              <c:numCache>
                <c:formatCode>0.000</c:formatCode>
                <c:ptCount val="5"/>
                <c:pt idx="0">
                  <c:v>3740359.5</c:v>
                </c:pt>
                <c:pt idx="1">
                  <c:v>823157.69799999858</c:v>
                </c:pt>
                <c:pt idx="2">
                  <c:v>2338870.94</c:v>
                </c:pt>
                <c:pt idx="3">
                  <c:v>853419.63800000004</c:v>
                </c:pt>
                <c:pt idx="4">
                  <c:v>4357951.0280000009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1364352"/>
        <c:axId val="70201344"/>
      </c:lineChart>
      <c:catAx>
        <c:axId val="1313643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70201344"/>
        <c:crosses val="autoZero"/>
        <c:auto val="1"/>
        <c:lblAlgn val="ctr"/>
        <c:lblOffset val="100"/>
        <c:noMultiLvlLbl val="0"/>
      </c:catAx>
      <c:valAx>
        <c:axId val="70201344"/>
        <c:scaling>
          <c:orientation val="minMax"/>
        </c:scaling>
        <c:delete val="1"/>
        <c:axPos val="l"/>
        <c:majorGridlines/>
        <c:numFmt formatCode="0.000" sourceLinked="1"/>
        <c:majorTickMark val="out"/>
        <c:minorTickMark val="none"/>
        <c:tickLblPos val="none"/>
        <c:crossAx val="13136435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5471698113207683E-2"/>
          <c:y val="5.7471264367816133E-2"/>
          <c:w val="0.55574614065180161"/>
          <c:h val="0.74137931034483084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сумма устранения выявленных нарушений, тыс. руб.</c:v>
                </c:pt>
              </c:strCache>
            </c:strRef>
          </c:tx>
          <c:spPr>
            <a:solidFill>
              <a:srgbClr val="9999FF"/>
            </a:solidFill>
            <a:ln w="12695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3.1073775902138437E-3"/>
                  <c:y val="-1.1102993219023286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4670525573814349E-2"/>
                  <c:y val="-1.9658143461966829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181429806859096E-3"/>
                  <c:y val="-2.396828900593077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90">
                <a:noFill/>
              </a:ln>
            </c:spPr>
            <c:txPr>
              <a:bodyPr/>
              <a:lstStyle/>
              <a:p>
                <a:pPr>
                  <a:defRPr sz="950" b="1" i="0" u="none" strike="noStrike" baseline="0">
                    <a:solidFill>
                      <a:srgbClr val="000000"/>
                    </a:solidFill>
                    <a:latin typeface="Times New Roman" pitchFamily="18" charset="0"/>
                    <a:ea typeface="Calibri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Sheet1!$B$1:$E$1</c:f>
              <c:numCache>
                <c:formatCode>General</c:formatCode>
                <c:ptCount val="4"/>
                <c:pt idx="0">
                  <c:v>2014</c:v>
                </c:pt>
                <c:pt idx="1">
                  <c:v>2013</c:v>
                </c:pt>
                <c:pt idx="2">
                  <c:v>2012</c:v>
                </c:pt>
              </c:numCache>
            </c:numRef>
          </c:cat>
          <c:val>
            <c:numRef>
              <c:f>Sheet1!$B$2:$E$2</c:f>
              <c:numCache>
                <c:formatCode>General</c:formatCode>
                <c:ptCount val="4"/>
                <c:pt idx="0">
                  <c:v>994.38199999999949</c:v>
                </c:pt>
                <c:pt idx="1">
                  <c:v>177.03800000000001</c:v>
                </c:pt>
                <c:pt idx="2">
                  <c:v>24.419999999999987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0250496"/>
        <c:axId val="70252032"/>
      </c:barChart>
      <c:catAx>
        <c:axId val="70250496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Times New Roman" pitchFamily="18" charset="0"/>
                <a:ea typeface="Calibri"/>
                <a:cs typeface="Times New Roman" pitchFamily="18" charset="0"/>
              </a:defRPr>
            </a:pPr>
            <a:endParaRPr lang="ru-RU"/>
          </a:p>
        </c:txPr>
        <c:crossAx val="7025203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70252032"/>
        <c:scaling>
          <c:orientation val="minMax"/>
        </c:scaling>
        <c:delete val="0"/>
        <c:axPos val="b"/>
        <c:majorGridlines>
          <c:spPr>
            <a:ln w="3174">
              <a:solidFill>
                <a:srgbClr val="000000"/>
              </a:solidFill>
              <a:prstDash val="sysDash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Times New Roman" pitchFamily="18" charset="0"/>
                <a:ea typeface="Calibri"/>
                <a:cs typeface="Times New Roman" pitchFamily="18" charset="0"/>
              </a:defRPr>
            </a:pPr>
            <a:endParaRPr lang="ru-RU"/>
          </a:p>
        </c:txPr>
        <c:crossAx val="70250496"/>
        <c:crosses val="autoZero"/>
        <c:crossBetween val="between"/>
      </c:valAx>
      <c:spPr>
        <a:noFill/>
        <a:ln w="12695">
          <a:solidFill>
            <a:srgbClr val="808080"/>
          </a:solidFill>
          <a:prstDash val="solid"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4"/>
    </mc:Choice>
    <mc:Fallback>
      <c:style val="34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проекты изменений в муниципальные программы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</c:f>
              <c:strCache>
                <c:ptCount val="1"/>
                <c:pt idx="0">
                  <c:v>2014 год</c:v>
                </c:pt>
              </c:strCache>
            </c:strRef>
          </c:cat>
          <c:val>
            <c:numRef>
              <c:f>Лист1!$B$2</c:f>
              <c:numCache>
                <c:formatCode>General</c:formatCode>
                <c:ptCount val="1"/>
                <c:pt idx="0">
                  <c:v>100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проект решения Думы о бюджете</c:v>
                </c:pt>
              </c:strCache>
            </c:strRef>
          </c:tx>
          <c:invertIfNegative val="0"/>
          <c:dLbls>
            <c:dLbl>
              <c:idx val="1"/>
              <c:layout>
                <c:manualLayout>
                  <c:x val="-1.8518518518518583E-2"/>
                  <c:y val="7.14285714285714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</c:f>
              <c:strCache>
                <c:ptCount val="1"/>
                <c:pt idx="0">
                  <c:v>2014 год</c:v>
                </c:pt>
              </c:strCache>
            </c:strRef>
          </c:cat>
          <c:val>
            <c:numRef>
              <c:f>Лист1!$C$2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проекты решений Думы города о внесении изменений в бюджет</c:v>
                </c:pt>
              </c:strCache>
            </c:strRef>
          </c:tx>
          <c:invertIfNegative val="0"/>
          <c:dLbls>
            <c:dLbl>
              <c:idx val="1"/>
              <c:layout>
                <c:manualLayout>
                  <c:x val="-6.9444444444444258E-3"/>
                  <c:y val="7.936195475565590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</c:f>
              <c:strCache>
                <c:ptCount val="1"/>
                <c:pt idx="0">
                  <c:v>2014 год</c:v>
                </c:pt>
              </c:strCache>
            </c:strRef>
          </c:cat>
          <c:val>
            <c:numRef>
              <c:f>Лист1!$D$2</c:f>
              <c:numCache>
                <c:formatCode>General</c:formatCode>
                <c:ptCount val="1"/>
                <c:pt idx="0">
                  <c:v>11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ежеквартальные отчеты об исполнении бюджета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</c:f>
              <c:strCache>
                <c:ptCount val="1"/>
                <c:pt idx="0">
                  <c:v>2014 год</c:v>
                </c:pt>
              </c:strCache>
            </c:strRef>
          </c:cat>
          <c:val>
            <c:numRef>
              <c:f>Лист1!$E$2</c:f>
              <c:numCache>
                <c:formatCode>General</c:formatCode>
                <c:ptCount val="1"/>
                <c:pt idx="0">
                  <c:v>3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внешняя проверка годового отчета об исполнении бюджета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</c:f>
              <c:strCache>
                <c:ptCount val="1"/>
                <c:pt idx="0">
                  <c:v>2014 год</c:v>
                </c:pt>
              </c:strCache>
            </c:strRef>
          </c:cat>
          <c:val>
            <c:numRef>
              <c:f>Лист1!$F$2</c:f>
              <c:numCache>
                <c:formatCode>General</c:formatCode>
                <c:ptCount val="1"/>
                <c:pt idx="0">
                  <c:v>13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проекты муниципальных правовых актов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6039661708953121E-5"/>
                  <c:y val="-2.38095238095238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General" sourceLinked="0"/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</c:f>
              <c:strCache>
                <c:ptCount val="1"/>
                <c:pt idx="0">
                  <c:v>2014 год</c:v>
                </c:pt>
              </c:strCache>
            </c:strRef>
          </c:cat>
          <c:val>
            <c:numRef>
              <c:f>Лист1!$G$2</c:f>
              <c:numCache>
                <c:formatCode>General</c:formatCode>
                <c:ptCount val="1"/>
                <c:pt idx="0">
                  <c:v>30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0487040"/>
        <c:axId val="70501120"/>
      </c:barChart>
      <c:catAx>
        <c:axId val="70487040"/>
        <c:scaling>
          <c:orientation val="minMax"/>
        </c:scaling>
        <c:delete val="0"/>
        <c:axPos val="b"/>
        <c:numFmt formatCode="dd/mm/yyyy" sourceLinked="1"/>
        <c:majorTickMark val="out"/>
        <c:minorTickMark val="none"/>
        <c:tickLblPos val="nextTo"/>
        <c:crossAx val="70501120"/>
        <c:crosses val="autoZero"/>
        <c:auto val="1"/>
        <c:lblAlgn val="ctr"/>
        <c:lblOffset val="100"/>
        <c:noMultiLvlLbl val="0"/>
      </c:catAx>
      <c:valAx>
        <c:axId val="70501120"/>
        <c:scaling>
          <c:orientation val="minMax"/>
        </c:scaling>
        <c:delete val="1"/>
        <c:axPos val="l"/>
        <c:majorGridlines/>
        <c:numFmt formatCode="General" sourceLinked="1"/>
        <c:majorTickMark val="out"/>
        <c:minorTickMark val="none"/>
        <c:tickLblPos val="none"/>
        <c:crossAx val="7048704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65048720472440968"/>
          <c:y val="8.0865516810398691E-2"/>
          <c:w val="0.34025353601632924"/>
          <c:h val="0.83826865391826022"/>
        </c:manualLayout>
      </c:layout>
      <c:overlay val="0"/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9D5BE4-2AB3-458E-9F4A-9A6FCEF17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962</TotalTime>
  <Pages>12</Pages>
  <Words>3008</Words>
  <Characters>17152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Duma</cp:lastModifiedBy>
  <cp:revision>22</cp:revision>
  <cp:lastPrinted>2014-03-26T09:20:00Z</cp:lastPrinted>
  <dcterms:created xsi:type="dcterms:W3CDTF">2015-02-25T08:12:00Z</dcterms:created>
  <dcterms:modified xsi:type="dcterms:W3CDTF">2015-05-05T06:55:00Z</dcterms:modified>
</cp:coreProperties>
</file>