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7778A1">
        <w:rPr>
          <w:rFonts w:ascii="Times New Roman" w:hAnsi="Times New Roman"/>
          <w:sz w:val="24"/>
          <w:szCs w:val="24"/>
        </w:rPr>
        <w:t>на 01.11.2014</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7778A1">
            <w:pPr>
              <w:jc w:val="center"/>
            </w:pPr>
            <w:r>
              <w:t xml:space="preserve">Кассовое исполнение </w:t>
            </w:r>
            <w:r w:rsidR="007778A1">
              <w:t>на 01.11</w:t>
            </w:r>
            <w:r w:rsidR="006F5105">
              <w:t>.2014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6572B1" w:rsidRPr="008D1086" w:rsidTr="00B21571">
        <w:trPr>
          <w:trHeight w:val="75"/>
        </w:trPr>
        <w:tc>
          <w:tcPr>
            <w:tcW w:w="709" w:type="dxa"/>
            <w:tcBorders>
              <w:left w:val="single" w:sz="2" w:space="0" w:color="000000"/>
              <w:bottom w:val="single" w:sz="4" w:space="0" w:color="auto"/>
              <w:right w:val="single" w:sz="2" w:space="0" w:color="000000"/>
            </w:tcBorders>
          </w:tcPr>
          <w:p w:rsidR="006572B1" w:rsidRPr="008D1086" w:rsidRDefault="006572B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6572B1" w:rsidRPr="00402C75" w:rsidRDefault="006572B1" w:rsidP="0026570B">
            <w:pPr>
              <w:autoSpaceDE w:val="0"/>
              <w:autoSpaceDN w:val="0"/>
              <w:adjustRightInd w:val="0"/>
              <w:rPr>
                <w:sz w:val="22"/>
                <w:szCs w:val="22"/>
              </w:rPr>
            </w:pPr>
            <w:r w:rsidRPr="00402C75">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tcPr>
          <w:p w:rsidR="006572B1" w:rsidRPr="00402C75" w:rsidRDefault="00402C75" w:rsidP="009F7F1A">
            <w:pPr>
              <w:jc w:val="center"/>
              <w:rPr>
                <w:sz w:val="22"/>
                <w:szCs w:val="22"/>
              </w:rPr>
            </w:pPr>
            <w:r w:rsidRPr="00402C75">
              <w:rPr>
                <w:sz w:val="22"/>
                <w:szCs w:val="22"/>
              </w:rPr>
              <w:t>87</w:t>
            </w:r>
            <w:r w:rsidR="009F7F1A">
              <w:rPr>
                <w:sz w:val="22"/>
                <w:szCs w:val="22"/>
              </w:rPr>
              <w:t>8</w:t>
            </w:r>
            <w:r w:rsidRPr="00402C75">
              <w:rPr>
                <w:sz w:val="22"/>
                <w:szCs w:val="22"/>
              </w:rPr>
              <w:t> </w:t>
            </w:r>
            <w:r w:rsidR="009F7F1A">
              <w:rPr>
                <w:sz w:val="22"/>
                <w:szCs w:val="22"/>
              </w:rPr>
              <w:t>771,03</w:t>
            </w:r>
            <w:r w:rsidRPr="00402C75">
              <w:rPr>
                <w:sz w:val="22"/>
                <w:szCs w:val="22"/>
              </w:rPr>
              <w:t>5</w:t>
            </w:r>
          </w:p>
        </w:tc>
        <w:tc>
          <w:tcPr>
            <w:tcW w:w="1843" w:type="dxa"/>
            <w:tcBorders>
              <w:top w:val="single" w:sz="2" w:space="0" w:color="000000"/>
              <w:left w:val="single" w:sz="2" w:space="0" w:color="000000"/>
              <w:bottom w:val="nil"/>
              <w:right w:val="single" w:sz="2" w:space="0" w:color="000000"/>
            </w:tcBorders>
          </w:tcPr>
          <w:p w:rsidR="006572B1" w:rsidRPr="00402C75" w:rsidRDefault="00402C75" w:rsidP="006572B1">
            <w:pPr>
              <w:jc w:val="center"/>
              <w:rPr>
                <w:sz w:val="22"/>
                <w:szCs w:val="22"/>
              </w:rPr>
            </w:pPr>
            <w:r w:rsidRPr="00402C75">
              <w:rPr>
                <w:sz w:val="22"/>
                <w:szCs w:val="22"/>
              </w:rPr>
              <w:t>378 154,699</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rsidP="00E20987">
            <w:pPr>
              <w:rPr>
                <w:highlight w:val="red"/>
              </w:rPr>
            </w:pPr>
            <w:r w:rsidRPr="002651C0">
              <w:t>Канализационн</w:t>
            </w:r>
            <w:proofErr w:type="gramStart"/>
            <w:r w:rsidRPr="002651C0">
              <w:t>о-</w:t>
            </w:r>
            <w:proofErr w:type="gramEnd"/>
            <w:r w:rsidRPr="002651C0">
              <w:t xml:space="preserve"> очистные сооружения производительностью 50 000 м3/сутки в городе Нефтеюганске</w:t>
            </w:r>
            <w:r>
              <w:t xml:space="preserve"> - </w:t>
            </w:r>
            <w:r w:rsidRPr="002651C0">
              <w:t xml:space="preserve">С ООО "СОК" заключен контракт от 12.08.2013 №38/-13  на сумму 1 255 978,59144 тыс. руб. Срок выполнения работ с 12.08.2013 по 13.03.15 (19 месяцев). Работы ведутся </w:t>
            </w:r>
            <w:proofErr w:type="gramStart"/>
            <w:r w:rsidRPr="002651C0">
              <w:t>согласно графика</w:t>
            </w:r>
            <w:proofErr w:type="gramEnd"/>
            <w:r w:rsidRPr="002651C0">
              <w:t>.</w:t>
            </w:r>
          </w:p>
        </w:tc>
      </w:tr>
      <w:tr w:rsidR="006572B1" w:rsidRPr="008D1086" w:rsidTr="00B21571">
        <w:trPr>
          <w:trHeight w:val="430"/>
        </w:trPr>
        <w:tc>
          <w:tcPr>
            <w:tcW w:w="709" w:type="dxa"/>
            <w:tcBorders>
              <w:top w:val="single" w:sz="4" w:space="0" w:color="auto"/>
              <w:left w:val="single" w:sz="4" w:space="0" w:color="auto"/>
              <w:bottom w:val="nil"/>
              <w:right w:val="single" w:sz="4" w:space="0" w:color="auto"/>
            </w:tcBorders>
            <w:hideMark/>
          </w:tcPr>
          <w:p w:rsidR="006572B1" w:rsidRPr="008D1086" w:rsidRDefault="006572B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6572B1" w:rsidRPr="00402C75" w:rsidRDefault="006572B1" w:rsidP="0026570B">
            <w:pPr>
              <w:autoSpaceDE w:val="0"/>
              <w:autoSpaceDN w:val="0"/>
              <w:adjustRightInd w:val="0"/>
              <w:rPr>
                <w:sz w:val="22"/>
                <w:szCs w:val="22"/>
              </w:rPr>
            </w:pPr>
            <w:r w:rsidRPr="00402C75">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tcPr>
          <w:p w:rsidR="006572B1" w:rsidRPr="00402C75" w:rsidRDefault="009F7F1A" w:rsidP="006572B1">
            <w:pPr>
              <w:jc w:val="center"/>
              <w:rPr>
                <w:sz w:val="22"/>
                <w:szCs w:val="22"/>
              </w:rPr>
            </w:pPr>
            <w:r>
              <w:rPr>
                <w:sz w:val="22"/>
                <w:szCs w:val="22"/>
              </w:rPr>
              <w:t>8 889,648</w:t>
            </w:r>
          </w:p>
        </w:tc>
        <w:tc>
          <w:tcPr>
            <w:tcW w:w="1843" w:type="dxa"/>
            <w:tcBorders>
              <w:top w:val="single" w:sz="4" w:space="0" w:color="auto"/>
              <w:left w:val="single" w:sz="4" w:space="0" w:color="auto"/>
              <w:bottom w:val="nil"/>
              <w:right w:val="single" w:sz="4" w:space="0" w:color="auto"/>
            </w:tcBorders>
          </w:tcPr>
          <w:p w:rsidR="006572B1" w:rsidRPr="00402C75" w:rsidRDefault="00402C75" w:rsidP="006572B1">
            <w:pPr>
              <w:jc w:val="center"/>
              <w:rPr>
                <w:sz w:val="22"/>
                <w:szCs w:val="22"/>
              </w:rPr>
            </w:pPr>
            <w:r w:rsidRPr="00402C75">
              <w:rPr>
                <w:sz w:val="22"/>
                <w:szCs w:val="22"/>
              </w:rPr>
              <w:t>3 574,003</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pPr>
              <w:rPr>
                <w:highlight w:val="red"/>
              </w:rPr>
            </w:pP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7 234,050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7778A1">
            <w:pPr>
              <w:jc w:val="center"/>
              <w:rPr>
                <w:sz w:val="22"/>
                <w:szCs w:val="22"/>
              </w:rPr>
            </w:pPr>
            <w:r w:rsidRPr="006572B1">
              <w:rPr>
                <w:sz w:val="22"/>
                <w:szCs w:val="22"/>
              </w:rPr>
              <w:t>5</w:t>
            </w:r>
            <w:r w:rsidR="007778A1">
              <w:rPr>
                <w:sz w:val="22"/>
                <w:szCs w:val="22"/>
              </w:rPr>
              <w:t> 624,643</w:t>
            </w:r>
          </w:p>
        </w:tc>
        <w:tc>
          <w:tcPr>
            <w:tcW w:w="6662" w:type="dxa"/>
            <w:tcBorders>
              <w:top w:val="single" w:sz="4" w:space="0" w:color="auto"/>
              <w:bottom w:val="single" w:sz="4" w:space="0" w:color="auto"/>
              <w:right w:val="single" w:sz="4" w:space="0" w:color="auto"/>
            </w:tcBorders>
            <w:shd w:val="clear" w:color="auto" w:fill="auto"/>
          </w:tcPr>
          <w:p w:rsidR="002651C0" w:rsidRDefault="002651C0" w:rsidP="002651C0">
            <w:r>
              <w:t xml:space="preserve">По компенсации недополученных доходов на услуги городской бани оплата производиться по факту выполненных работ, фактическая выплата субсидии меньше запланированной.                                                                                                                                                         </w:t>
            </w:r>
          </w:p>
          <w:p w:rsidR="002651C0" w:rsidRDefault="002651C0" w:rsidP="002651C0">
            <w:r>
              <w:t xml:space="preserve">По доставке воды в частный сектор СУ-905 и в 11а мкр. оплата производилась по факту выполненных работ. С апреля месяца субсидия не выплачивается, в связи с отменой постановления  </w:t>
            </w:r>
          </w:p>
          <w:p w:rsidR="006572B1" w:rsidRPr="007778A1" w:rsidRDefault="002651C0" w:rsidP="002651C0">
            <w:pPr>
              <w:rPr>
                <w:highlight w:val="red"/>
              </w:rPr>
            </w:pPr>
            <w:r>
              <w:t xml:space="preserve">По мероприятию по субсидиям из бюджета города </w:t>
            </w:r>
            <w:proofErr w:type="spellStart"/>
            <w:r>
              <w:t>хоз-ным</w:t>
            </w:r>
            <w:proofErr w:type="spellEnd"/>
            <w:r>
              <w:t xml:space="preserve"> </w:t>
            </w:r>
            <w:proofErr w:type="spellStart"/>
            <w:r>
              <w:t>суб</w:t>
            </w:r>
            <w:proofErr w:type="spellEnd"/>
            <w:r>
              <w:t xml:space="preserve">-м на возмещение затрат по содержанию и ремонту </w:t>
            </w:r>
            <w:proofErr w:type="spellStart"/>
            <w:r>
              <w:t>бесхоз</w:t>
            </w:r>
            <w:proofErr w:type="spellEnd"/>
            <w:r>
              <w:t>-х-</w:t>
            </w:r>
            <w:proofErr w:type="spellStart"/>
            <w:r>
              <w:t>го</w:t>
            </w:r>
            <w:proofErr w:type="spellEnd"/>
            <w:r>
              <w:t xml:space="preserve"> </w:t>
            </w:r>
            <w:proofErr w:type="spellStart"/>
            <w:r>
              <w:t>недвиж-го</w:t>
            </w:r>
            <w:proofErr w:type="spellEnd"/>
            <w:r>
              <w:t xml:space="preserve"> </w:t>
            </w:r>
            <w:proofErr w:type="spellStart"/>
            <w:r>
              <w:t>имущ-ва</w:t>
            </w:r>
            <w:proofErr w:type="spellEnd"/>
            <w:r>
              <w:t xml:space="preserve"> отменены, будут закрыты в 4 квартале 2014 года.</w:t>
            </w:r>
          </w:p>
        </w:tc>
      </w:tr>
      <w:tr w:rsidR="006572B1" w:rsidRPr="008D1086" w:rsidTr="00762396">
        <w:trPr>
          <w:trHeight w:val="997"/>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401,178</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rsidP="006C2ED8">
            <w:pPr>
              <w:rPr>
                <w:highlight w:val="red"/>
              </w:rPr>
            </w:pPr>
          </w:p>
        </w:tc>
      </w:tr>
      <w:tr w:rsidR="006572B1" w:rsidRPr="008D1086" w:rsidTr="00762396">
        <w:trPr>
          <w:trHeight w:val="1536"/>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687,000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410,304</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rsidP="006572B1">
            <w:pPr>
              <w:rPr>
                <w:highlight w:val="red"/>
              </w:rPr>
            </w:pPr>
            <w:r w:rsidRPr="002651C0">
              <w:t xml:space="preserve">Направлена заявка 02.10.2014 года на финансирование в соответствии с договором №16-05/14ОД от 21.05.14 между </w:t>
            </w:r>
            <w:proofErr w:type="spellStart"/>
            <w:r w:rsidRPr="002651C0">
              <w:t>Нефтеюганскгаз</w:t>
            </w:r>
            <w:proofErr w:type="spellEnd"/>
            <w:r w:rsidRPr="002651C0">
              <w:t xml:space="preserve"> и ДЖКХ на сумму 164 612, пройдет оплата за сентябрь 2014 в сумме 55 677 рублей.</w:t>
            </w:r>
          </w:p>
        </w:tc>
      </w:tr>
      <w:tr w:rsidR="006572B1" w:rsidRPr="008D1086" w:rsidTr="00B21571">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lastRenderedPageBreak/>
              <w:t>2.1</w:t>
            </w:r>
          </w:p>
        </w:tc>
        <w:tc>
          <w:tcPr>
            <w:tcW w:w="3827"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6572B1" w:rsidP="006572B1">
            <w:pPr>
              <w:jc w:val="center"/>
              <w:rPr>
                <w:sz w:val="22"/>
                <w:szCs w:val="22"/>
              </w:rPr>
            </w:pPr>
            <w:r w:rsidRPr="006572B1">
              <w:rPr>
                <w:sz w:val="22"/>
                <w:szCs w:val="22"/>
              </w:rPr>
              <w:t>2 784,155</w:t>
            </w:r>
          </w:p>
        </w:tc>
        <w:tc>
          <w:tcPr>
            <w:tcW w:w="1843" w:type="dxa"/>
            <w:tcBorders>
              <w:top w:val="single" w:sz="2" w:space="0" w:color="000000"/>
              <w:left w:val="single" w:sz="4" w:space="0" w:color="auto"/>
              <w:bottom w:val="single" w:sz="2" w:space="0" w:color="000000"/>
              <w:right w:val="single" w:sz="2" w:space="0" w:color="000000"/>
            </w:tcBorders>
          </w:tcPr>
          <w:p w:rsidR="006572B1" w:rsidRPr="00B53351" w:rsidRDefault="006572B1" w:rsidP="006572B1">
            <w:pPr>
              <w:jc w:val="center"/>
              <w:rPr>
                <w:sz w:val="22"/>
                <w:szCs w:val="22"/>
              </w:rPr>
            </w:pPr>
            <w:r w:rsidRPr="00B53351">
              <w:rPr>
                <w:sz w:val="22"/>
                <w:szCs w:val="22"/>
              </w:rPr>
              <w:t>0,0</w:t>
            </w:r>
            <w:r w:rsidR="007778A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rsidP="00B53351">
            <w:pPr>
              <w:rPr>
                <w:highlight w:val="red"/>
              </w:rPr>
            </w:pPr>
            <w:r w:rsidRPr="002651C0">
              <w:t xml:space="preserve">По капитальному ремонту многоквартирных домов (111 680 рублей)) представленный пакет документов (счет-фактура, платежное поручение, расчет, акты приемки выполненных работ, справка о стоимости </w:t>
            </w:r>
            <w:proofErr w:type="spellStart"/>
            <w:r w:rsidRPr="002651C0">
              <w:t>выполн</w:t>
            </w:r>
            <w:proofErr w:type="gramStart"/>
            <w:r w:rsidRPr="002651C0">
              <w:t>.р</w:t>
            </w:r>
            <w:proofErr w:type="gramEnd"/>
            <w:r w:rsidRPr="002651C0">
              <w:t>абот</w:t>
            </w:r>
            <w:proofErr w:type="spellEnd"/>
            <w:r w:rsidRPr="002651C0">
              <w:t xml:space="preserve">, перечь жилых и нежилых помещений) управляющей организацией ЖЕУ-3 находится на проверке в части правильности порядка возмещения и достоверности предоставленных расчетов. Бюджетные ассигнования по мероприятию по капитальному ремонту многоквартирных домов (2 672 475 рублей) выделены Думой города Нефтеюганска 26.09.2014 года. В настоящий момент идет разработка порядка предоставления субсидии. Бюджетные ассигнования будут освоены в 4 квартале 2014 года в рамках договора о предоставлении субсидии НО "Югорский фонд </w:t>
            </w:r>
            <w:proofErr w:type="spellStart"/>
            <w:r w:rsidRPr="002651C0">
              <w:t>кап</w:t>
            </w:r>
            <w:proofErr w:type="gramStart"/>
            <w:r w:rsidRPr="002651C0">
              <w:t>.р</w:t>
            </w:r>
            <w:proofErr w:type="gramEnd"/>
            <w:r w:rsidRPr="002651C0">
              <w:t>емонта</w:t>
            </w:r>
            <w:proofErr w:type="spellEnd"/>
            <w:r w:rsidRPr="002651C0">
              <w:t xml:space="preserve"> многоквартирных домов" на капитальный ремонт многоквартирных домов в городе Нефтеюганске.</w:t>
            </w:r>
          </w:p>
        </w:tc>
      </w:tr>
      <w:tr w:rsidR="006572B1" w:rsidRPr="008D1086" w:rsidTr="00B21571">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6572B1" w:rsidP="006572B1">
            <w:pPr>
              <w:jc w:val="center"/>
              <w:rPr>
                <w:sz w:val="22"/>
                <w:szCs w:val="22"/>
              </w:rPr>
            </w:pPr>
            <w:r w:rsidRPr="006572B1">
              <w:rPr>
                <w:sz w:val="22"/>
                <w:szCs w:val="22"/>
              </w:rPr>
              <w:t>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r w:rsidR="007778A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6572B1">
            <w:pPr>
              <w:rPr>
                <w:highlight w:val="red"/>
              </w:rPr>
            </w:pPr>
          </w:p>
        </w:tc>
      </w:tr>
      <w:tr w:rsidR="006572B1" w:rsidRPr="008D1086" w:rsidTr="00762396">
        <w:trPr>
          <w:trHeight w:val="84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7778A1">
            <w:pPr>
              <w:jc w:val="center"/>
              <w:rPr>
                <w:sz w:val="22"/>
                <w:szCs w:val="22"/>
              </w:rPr>
            </w:pPr>
            <w:r w:rsidRPr="006572B1">
              <w:rPr>
                <w:sz w:val="22"/>
                <w:szCs w:val="22"/>
              </w:rPr>
              <w:t>42</w:t>
            </w:r>
            <w:r w:rsidR="007778A1">
              <w:rPr>
                <w:sz w:val="22"/>
                <w:szCs w:val="22"/>
              </w:rPr>
              <w:t> 712,159</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13 086,675</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rsidP="00762396">
            <w:pPr>
              <w:rPr>
                <w:highlight w:val="red"/>
              </w:rPr>
            </w:pPr>
            <w:r w:rsidRPr="002651C0">
              <w:t xml:space="preserve">1)По расходам по содержанию нераспределенных и нереализованных жилых и свободных нежилых помещений, являющихся муниципальной собственностью в части жилищных услуг исполнение бюджетных ассигнований за 9 мес. 2014 г. составило 55,7%. Заключен договор в части жилищных услуг. </w:t>
            </w:r>
            <w:proofErr w:type="gramStart"/>
            <w:r w:rsidRPr="002651C0">
              <w:t>К представленным управляющими организациями расчетам затребованы подтверждающие документы: договоры управления и протоколы о выборе управляющей организации, после предоставления указанных документов при положительном рассмотрении средства будут освоены в полном объеме.</w:t>
            </w:r>
            <w:proofErr w:type="gramEnd"/>
            <w:r w:rsidRPr="002651C0">
              <w:t xml:space="preserve"> Оставшиеся бюджетные ассигнования являются плановыми назначениями 4 квартала 2014 года.  2) По расходам по содержанию нераспределенных и нереализованных жилых и свободных нежилых помещений, являющихся муниципальной собственностью в части коммунальных услуг "МУ ЖЭУ"</w:t>
            </w:r>
            <w:proofErr w:type="gramStart"/>
            <w:r w:rsidRPr="002651C0">
              <w:t>,"</w:t>
            </w:r>
            <w:proofErr w:type="gramEnd"/>
            <w:r w:rsidRPr="002651C0">
              <w:t xml:space="preserve">ОАО ЖЭУ", УК,ТСЖ исполнение бюджетных ассигнований за 9 мес. 2014 г. составило 90,8%. На неисполненные бюджетные ассигнования заключен договор в части отопления. </w:t>
            </w:r>
            <w:proofErr w:type="gramStart"/>
            <w:r w:rsidRPr="002651C0">
              <w:t xml:space="preserve">К представленным </w:t>
            </w:r>
            <w:r w:rsidRPr="002651C0">
              <w:lastRenderedPageBreak/>
              <w:t>управляющими организациями расчетам затребованы подтверждающие документы: договоры управления и протоколы о выборе управляющей организации, после предоставления указанных документов при положительном рассмотрении средства будут освоены в полном объеме.</w:t>
            </w:r>
            <w:proofErr w:type="gramEnd"/>
            <w:r w:rsidRPr="002651C0">
              <w:t xml:space="preserve"> Оставшиеся бюджетные ассигнования являются плановыми назначениями 4 квартала 2014 года. 3) По обследованию </w:t>
            </w:r>
            <w:proofErr w:type="spellStart"/>
            <w:r w:rsidRPr="002651C0">
              <w:t>жил</w:t>
            </w:r>
            <w:proofErr w:type="gramStart"/>
            <w:r w:rsidRPr="002651C0">
              <w:t>.ф</w:t>
            </w:r>
            <w:proofErr w:type="gramEnd"/>
            <w:r w:rsidRPr="002651C0">
              <w:t>онда</w:t>
            </w:r>
            <w:proofErr w:type="spellEnd"/>
            <w:r w:rsidRPr="002651C0">
              <w:t xml:space="preserve"> исполнение бюджетных ассигнований за 9 мес. 2014 г. составило 100,0%. Оставшиеся бюджетные ассигнования являются плановыми назначениями 4 квартала 2014 года. Заключены м/к на общую сумму 330 750 ,71 руб. Идет согласование конкурсной документации для подачи на аукцион на сумму 1 333 333,25 руб. Экономия после проведения аукциона будет закрыта.4)  По возмещению УК</w:t>
            </w:r>
            <w:proofErr w:type="gramStart"/>
            <w:r w:rsidRPr="002651C0">
              <w:t>,Т</w:t>
            </w:r>
            <w:proofErr w:type="gramEnd"/>
            <w:r w:rsidRPr="002651C0">
              <w:t>СЖ,ОАО вынесен отказ в предоставлении субсидии ЖЕУ 2, ЖЕУ 4 заявившимся управляющим организациям в связи с предоставлением пакетов документов не соответствующих требованиям постановления 123-нп от 22.11.2013г. (с изм.) Управляющие организация проводят соответствующую работу с целью устранения замечаний и повторного заявления на предоставления субсидии. После повторного заявления управляющими организациями  и вынесения положительного решения о получении субсидии, проверки фактических расчетов на соответствие представленным к заявке документам, бюджетные ассигнования будут освоены.  ОАО ЖЕУ 5, ООО ЖЕУ 5, ЖЕУ 3 ведется подготовка приказа на выплату субсидии.</w:t>
            </w:r>
          </w:p>
        </w:tc>
      </w:tr>
      <w:tr w:rsidR="006572B1" w:rsidRPr="008D1086" w:rsidTr="00B21571">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lastRenderedPageBreak/>
              <w:t>2.4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3 631,000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2 252,845</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2651C0">
            <w:r w:rsidRPr="002651C0">
              <w:t>Исполнение бюджетных ассигнований за 9 мес. 2014 года 100,0%. Оставшиеся бюджетные ассигнования являются плановыми назначениями 4 квартала 2014 года. Работы завершены, оплата пройдет в 4 квартале 2014 года.</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tcPr>
          <w:p w:rsidR="006572B1" w:rsidRPr="009F03FB" w:rsidRDefault="006572B1" w:rsidP="006572B1">
            <w:pPr>
              <w:jc w:val="center"/>
              <w:rPr>
                <w:sz w:val="22"/>
                <w:szCs w:val="22"/>
              </w:rPr>
            </w:pPr>
            <w:r w:rsidRPr="009F03FB">
              <w:rPr>
                <w:sz w:val="22"/>
                <w:szCs w:val="22"/>
              </w:rPr>
              <w:t>5 111,108</w:t>
            </w:r>
          </w:p>
          <w:p w:rsidR="00402C75" w:rsidRPr="009F03FB" w:rsidRDefault="00402C75" w:rsidP="00402C75">
            <w:pPr>
              <w:jc w:val="center"/>
              <w:rPr>
                <w:sz w:val="22"/>
                <w:szCs w:val="22"/>
              </w:rPr>
            </w:pPr>
          </w:p>
        </w:tc>
        <w:tc>
          <w:tcPr>
            <w:tcW w:w="1843" w:type="dxa"/>
            <w:tcBorders>
              <w:top w:val="single" w:sz="2" w:space="0" w:color="000000"/>
              <w:left w:val="single" w:sz="4" w:space="0" w:color="auto"/>
              <w:bottom w:val="single" w:sz="2" w:space="0" w:color="000000"/>
              <w:right w:val="single" w:sz="2" w:space="0" w:color="000000"/>
            </w:tcBorders>
          </w:tcPr>
          <w:p w:rsidR="006572B1" w:rsidRPr="009F03FB" w:rsidRDefault="00B53351" w:rsidP="006572B1">
            <w:pPr>
              <w:jc w:val="center"/>
              <w:rPr>
                <w:sz w:val="22"/>
                <w:szCs w:val="22"/>
              </w:rPr>
            </w:pPr>
            <w:r w:rsidRPr="009F03FB">
              <w:rPr>
                <w:sz w:val="22"/>
                <w:szCs w:val="22"/>
              </w:rPr>
              <w:t>3</w:t>
            </w:r>
            <w:r w:rsidR="009F03FB" w:rsidRPr="009F03FB">
              <w:rPr>
                <w:sz w:val="22"/>
                <w:szCs w:val="22"/>
              </w:rPr>
              <w:t> 838,722</w:t>
            </w:r>
          </w:p>
          <w:p w:rsidR="00402C75" w:rsidRPr="009F03FB" w:rsidRDefault="00402C75" w:rsidP="006572B1">
            <w:pPr>
              <w:jc w:val="center"/>
              <w:rPr>
                <w:sz w:val="22"/>
                <w:szCs w:val="22"/>
              </w:rPr>
            </w:pPr>
          </w:p>
        </w:tc>
        <w:tc>
          <w:tcPr>
            <w:tcW w:w="6662" w:type="dxa"/>
            <w:tcBorders>
              <w:top w:val="single" w:sz="4" w:space="0" w:color="auto"/>
              <w:bottom w:val="single" w:sz="4" w:space="0" w:color="auto"/>
              <w:right w:val="single" w:sz="4" w:space="0" w:color="auto"/>
            </w:tcBorders>
            <w:shd w:val="clear" w:color="auto" w:fill="auto"/>
          </w:tcPr>
          <w:p w:rsidR="005724AB" w:rsidRPr="007778A1" w:rsidRDefault="005724AB" w:rsidP="00762396">
            <w:pPr>
              <w:rPr>
                <w:highlight w:val="red"/>
              </w:rPr>
            </w:pPr>
          </w:p>
        </w:tc>
      </w:tr>
      <w:tr w:rsidR="006572B1" w:rsidRPr="008D1086" w:rsidTr="00B21571">
        <w:trPr>
          <w:trHeight w:val="506"/>
        </w:trPr>
        <w:tc>
          <w:tcPr>
            <w:tcW w:w="709" w:type="dxa"/>
            <w:tcBorders>
              <w:top w:val="single" w:sz="2" w:space="0" w:color="000000"/>
              <w:left w:val="single" w:sz="2" w:space="0" w:color="000000"/>
              <w:bottom w:val="single" w:sz="4" w:space="0" w:color="auto"/>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3.2</w:t>
            </w:r>
          </w:p>
        </w:tc>
        <w:tc>
          <w:tcPr>
            <w:tcW w:w="3827" w:type="dxa"/>
            <w:tcBorders>
              <w:top w:val="single" w:sz="2" w:space="0" w:color="000000"/>
              <w:left w:val="single" w:sz="2" w:space="0" w:color="000000"/>
              <w:bottom w:val="single" w:sz="4" w:space="0" w:color="auto"/>
              <w:right w:val="single" w:sz="4" w:space="0" w:color="auto"/>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tcPr>
          <w:p w:rsidR="006572B1" w:rsidRPr="007778A1" w:rsidRDefault="005F5BAB" w:rsidP="006572B1">
            <w:pPr>
              <w:jc w:val="center"/>
              <w:rPr>
                <w:sz w:val="22"/>
                <w:szCs w:val="22"/>
                <w:highlight w:val="red"/>
              </w:rPr>
            </w:pPr>
            <w:r w:rsidRPr="005F5BAB">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tcPr>
          <w:p w:rsidR="006572B1" w:rsidRPr="007778A1" w:rsidRDefault="00570597" w:rsidP="006572B1">
            <w:pPr>
              <w:jc w:val="center"/>
              <w:rPr>
                <w:sz w:val="22"/>
                <w:szCs w:val="22"/>
                <w:highlight w:val="red"/>
              </w:rPr>
            </w:pPr>
            <w:r w:rsidRPr="00570597">
              <w:rPr>
                <w:sz w:val="22"/>
                <w:szCs w:val="22"/>
              </w:rPr>
              <w:t>18 822,476</w:t>
            </w:r>
          </w:p>
        </w:tc>
        <w:tc>
          <w:tcPr>
            <w:tcW w:w="6662" w:type="dxa"/>
            <w:tcBorders>
              <w:top w:val="single" w:sz="4" w:space="0" w:color="auto"/>
              <w:bottom w:val="single" w:sz="4" w:space="0" w:color="auto"/>
              <w:right w:val="single" w:sz="4" w:space="0" w:color="auto"/>
            </w:tcBorders>
            <w:shd w:val="clear" w:color="auto" w:fill="auto"/>
          </w:tcPr>
          <w:p w:rsidR="00E72920" w:rsidRPr="00570597" w:rsidRDefault="006572B1" w:rsidP="00E72920">
            <w:r w:rsidRPr="00570597">
              <w:t xml:space="preserve">Исполнение </w:t>
            </w:r>
            <w:r w:rsidR="00762396" w:rsidRPr="00570597">
              <w:t xml:space="preserve">бюджетных ассигнований </w:t>
            </w:r>
            <w:r w:rsidRPr="00570597">
              <w:t>за 9 месяцев 2014 года</w:t>
            </w:r>
            <w:r w:rsidR="00E72920" w:rsidRPr="00570597">
              <w:t>:</w:t>
            </w:r>
            <w:r w:rsidRPr="00570597">
              <w:t xml:space="preserve"> </w:t>
            </w:r>
          </w:p>
          <w:p w:rsidR="006572B1" w:rsidRPr="00570597" w:rsidRDefault="00762396" w:rsidP="00762396">
            <w:r w:rsidRPr="00570597">
              <w:t xml:space="preserve"> - з</w:t>
            </w:r>
            <w:r w:rsidR="00E72920" w:rsidRPr="00570597">
              <w:t xml:space="preserve">а счет собственных средств предприятий </w:t>
            </w:r>
            <w:r w:rsidR="006572B1" w:rsidRPr="00570597">
              <w:t>100%</w:t>
            </w:r>
            <w:r w:rsidR="00E72920" w:rsidRPr="00570597">
              <w:t>;</w:t>
            </w:r>
          </w:p>
        </w:tc>
      </w:tr>
      <w:tr w:rsidR="0097653B" w:rsidRPr="008D1086" w:rsidTr="00762396">
        <w:trPr>
          <w:trHeight w:val="1083"/>
        </w:trPr>
        <w:tc>
          <w:tcPr>
            <w:tcW w:w="709" w:type="dxa"/>
            <w:tcBorders>
              <w:top w:val="single" w:sz="4" w:space="0" w:color="auto"/>
              <w:left w:val="single" w:sz="4" w:space="0" w:color="auto"/>
              <w:bottom w:val="single" w:sz="4" w:space="0" w:color="auto"/>
              <w:right w:val="single" w:sz="4" w:space="0" w:color="auto"/>
            </w:tcBorders>
          </w:tcPr>
          <w:p w:rsidR="0097653B" w:rsidRPr="008D1086" w:rsidRDefault="0097653B" w:rsidP="0026570B">
            <w:pPr>
              <w:autoSpaceDE w:val="0"/>
              <w:autoSpaceDN w:val="0"/>
              <w:adjustRightInd w:val="0"/>
              <w:jc w:val="center"/>
              <w:rPr>
                <w:sz w:val="22"/>
                <w:szCs w:val="22"/>
              </w:rPr>
            </w:pPr>
            <w:r w:rsidRPr="008D1086">
              <w:rPr>
                <w:sz w:val="22"/>
                <w:szCs w:val="22"/>
              </w:rPr>
              <w:lastRenderedPageBreak/>
              <w:t>3.3</w:t>
            </w:r>
          </w:p>
        </w:tc>
        <w:tc>
          <w:tcPr>
            <w:tcW w:w="3827" w:type="dxa"/>
            <w:tcBorders>
              <w:top w:val="single" w:sz="4" w:space="0" w:color="auto"/>
              <w:left w:val="single" w:sz="4" w:space="0" w:color="auto"/>
              <w:bottom w:val="single" w:sz="4" w:space="0" w:color="auto"/>
              <w:right w:val="single" w:sz="4" w:space="0" w:color="auto"/>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tcPr>
          <w:p w:rsidR="0097653B" w:rsidRPr="005F5BAB" w:rsidRDefault="0097653B" w:rsidP="006572B1">
            <w:pPr>
              <w:jc w:val="center"/>
              <w:rPr>
                <w:sz w:val="22"/>
                <w:szCs w:val="22"/>
              </w:rPr>
            </w:pPr>
            <w:r w:rsidRPr="005F5BAB">
              <w:rPr>
                <w:sz w:val="22"/>
                <w:szCs w:val="22"/>
              </w:rPr>
              <w:t>35 957,000</w:t>
            </w:r>
          </w:p>
        </w:tc>
        <w:tc>
          <w:tcPr>
            <w:tcW w:w="1843" w:type="dxa"/>
            <w:tcBorders>
              <w:top w:val="single" w:sz="4" w:space="0" w:color="auto"/>
              <w:left w:val="single" w:sz="4" w:space="0" w:color="auto"/>
              <w:bottom w:val="single" w:sz="4" w:space="0" w:color="auto"/>
              <w:right w:val="single" w:sz="4" w:space="0" w:color="auto"/>
            </w:tcBorders>
          </w:tcPr>
          <w:p w:rsidR="0097653B" w:rsidRPr="005F5BAB" w:rsidRDefault="005F5BAB" w:rsidP="006572B1">
            <w:pPr>
              <w:jc w:val="center"/>
              <w:rPr>
                <w:sz w:val="22"/>
                <w:szCs w:val="22"/>
              </w:rPr>
            </w:pPr>
            <w:r w:rsidRPr="005F5BAB">
              <w:rPr>
                <w:sz w:val="22"/>
                <w:szCs w:val="22"/>
              </w:rPr>
              <w:t>19 268,100</w:t>
            </w:r>
          </w:p>
        </w:tc>
        <w:tc>
          <w:tcPr>
            <w:tcW w:w="6662" w:type="dxa"/>
            <w:tcBorders>
              <w:top w:val="single" w:sz="4" w:space="0" w:color="auto"/>
              <w:bottom w:val="single" w:sz="4" w:space="0" w:color="auto"/>
              <w:right w:val="single" w:sz="4" w:space="0" w:color="auto"/>
            </w:tcBorders>
            <w:shd w:val="clear" w:color="auto" w:fill="auto"/>
          </w:tcPr>
          <w:p w:rsidR="00524EE6" w:rsidRPr="005F5BAB" w:rsidRDefault="005F5BAB" w:rsidP="00DA5864">
            <w:r w:rsidRPr="005F5BAB">
              <w:t>По итогам 9 месяцев ОАО «ЮВК» имеет отр</w:t>
            </w:r>
            <w:r>
              <w:t>ица</w:t>
            </w:r>
            <w:r w:rsidRPr="005F5BAB">
              <w:t>тельный финансовый результат, поэтому запланированные мероприятия выполнены не в полном объеме</w:t>
            </w:r>
          </w:p>
        </w:tc>
      </w:tr>
      <w:tr w:rsidR="0097653B" w:rsidRPr="008D1086" w:rsidTr="00B21571">
        <w:trPr>
          <w:trHeight w:val="706"/>
        </w:trPr>
        <w:tc>
          <w:tcPr>
            <w:tcW w:w="709" w:type="dxa"/>
            <w:tcBorders>
              <w:top w:val="single" w:sz="2" w:space="0" w:color="000000"/>
              <w:left w:val="single" w:sz="2" w:space="0" w:color="000000"/>
              <w:right w:val="single" w:sz="2" w:space="0" w:color="000000"/>
            </w:tcBorders>
          </w:tcPr>
          <w:p w:rsidR="0097653B" w:rsidRPr="008D1086" w:rsidRDefault="0097653B"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tcPr>
          <w:p w:rsidR="0097653B" w:rsidRPr="006572B1" w:rsidRDefault="005F5BAB" w:rsidP="006572B1">
            <w:pPr>
              <w:jc w:val="center"/>
              <w:rPr>
                <w:sz w:val="22"/>
                <w:szCs w:val="22"/>
              </w:rPr>
            </w:pPr>
            <w:r>
              <w:rPr>
                <w:sz w:val="22"/>
                <w:szCs w:val="22"/>
              </w:rPr>
              <w:t>15 522,983</w:t>
            </w:r>
          </w:p>
        </w:tc>
        <w:tc>
          <w:tcPr>
            <w:tcW w:w="1843" w:type="dxa"/>
            <w:tcBorders>
              <w:top w:val="single" w:sz="2" w:space="0" w:color="000000"/>
              <w:left w:val="single" w:sz="4" w:space="0" w:color="auto"/>
              <w:bottom w:val="single" w:sz="2" w:space="0" w:color="000000"/>
              <w:right w:val="single" w:sz="2" w:space="0" w:color="000000"/>
            </w:tcBorders>
          </w:tcPr>
          <w:p w:rsidR="0097653B" w:rsidRPr="00B53351" w:rsidRDefault="0097653B" w:rsidP="006572B1">
            <w:pPr>
              <w:jc w:val="center"/>
              <w:rPr>
                <w:sz w:val="22"/>
                <w:szCs w:val="22"/>
                <w:highlight w:val="red"/>
              </w:rPr>
            </w:pPr>
            <w:r w:rsidRPr="0097653B">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7653B" w:rsidRPr="007778A1" w:rsidRDefault="002651C0" w:rsidP="005F5BAB">
            <w:pPr>
              <w:rPr>
                <w:highlight w:val="red"/>
              </w:rPr>
            </w:pPr>
            <w:proofErr w:type="gramStart"/>
            <w:r w:rsidRPr="002651C0">
              <w:t>По замена существующих светильников на энергосберегающие, освещающих улицы города Нефтеюганска неисполненные бюджетные ассигнования являются плановыми назначениями 4 квартала 2014 года.</w:t>
            </w:r>
            <w:proofErr w:type="gramEnd"/>
            <w:r w:rsidRPr="002651C0">
              <w:t xml:space="preserve"> Договор заключен с ОАО "</w:t>
            </w:r>
            <w:proofErr w:type="spellStart"/>
            <w:r w:rsidRPr="002651C0">
              <w:t>Миасский</w:t>
            </w:r>
            <w:proofErr w:type="spellEnd"/>
            <w:r w:rsidRPr="002651C0">
              <w:t xml:space="preserve"> машиностроительный завод" № 0187300012814000318-0240522-06 от 30.07.2014 года на 12 595 175 рублей, работы ведутся. Бюджетные ассигнования будут освоены в конце 4 квартала.  По поставке с монтажом автоматизированной системы управления наружным освещением </w:t>
            </w:r>
            <w:r w:rsidR="005F5BAB">
              <w:t>направлен пакет документов на закрытие БА.</w:t>
            </w:r>
          </w:p>
        </w:tc>
      </w:tr>
      <w:tr w:rsidR="006572B1" w:rsidRPr="008D1086" w:rsidTr="00B21571">
        <w:trPr>
          <w:trHeight w:val="706"/>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1 000,000</w:t>
            </w:r>
          </w:p>
        </w:tc>
        <w:tc>
          <w:tcPr>
            <w:tcW w:w="1843" w:type="dxa"/>
            <w:tcBorders>
              <w:top w:val="single" w:sz="2" w:space="0" w:color="000000"/>
              <w:left w:val="single" w:sz="4" w:space="0" w:color="auto"/>
              <w:bottom w:val="single" w:sz="2" w:space="0" w:color="000000"/>
              <w:right w:val="single" w:sz="2" w:space="0" w:color="000000"/>
            </w:tcBorders>
          </w:tcPr>
          <w:p w:rsidR="006572B1" w:rsidRPr="005F5BAB" w:rsidRDefault="00B53351" w:rsidP="006572B1">
            <w:pPr>
              <w:jc w:val="center"/>
              <w:rPr>
                <w:sz w:val="22"/>
                <w:szCs w:val="22"/>
              </w:rPr>
            </w:pPr>
            <w:r w:rsidRPr="005F5BAB">
              <w:rPr>
                <w:sz w:val="22"/>
                <w:szCs w:val="22"/>
              </w:rPr>
              <w:t>216,400</w:t>
            </w:r>
          </w:p>
        </w:tc>
        <w:tc>
          <w:tcPr>
            <w:tcW w:w="6662" w:type="dxa"/>
            <w:tcBorders>
              <w:top w:val="single" w:sz="4" w:space="0" w:color="auto"/>
              <w:bottom w:val="single" w:sz="4" w:space="0" w:color="auto"/>
              <w:right w:val="single" w:sz="4" w:space="0" w:color="auto"/>
            </w:tcBorders>
            <w:shd w:val="clear" w:color="auto" w:fill="auto"/>
          </w:tcPr>
          <w:p w:rsidR="006572B1" w:rsidRPr="005F5BAB" w:rsidRDefault="005F5BAB" w:rsidP="00FE36D1">
            <w:r w:rsidRPr="005F5BAB">
              <w:t>Оснащение автомобилей приборами ре</w:t>
            </w:r>
            <w:r>
              <w:t>гистрации параме</w:t>
            </w:r>
            <w:r w:rsidRPr="005F5BAB">
              <w:t>тров движения.</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tr w:rsidR="006572B1" w:rsidRPr="008D1086" w:rsidTr="00B21571">
        <w:trPr>
          <w:trHeight w:val="677"/>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9F03FB" w:rsidP="00C14342">
            <w:pPr>
              <w:rPr>
                <w:highlight w:val="red"/>
              </w:rPr>
            </w:pPr>
            <w:r w:rsidRPr="009F03FB">
              <w:t xml:space="preserve">Аукционная документация разработана, проводится согласование. Заявка размещена на сайте </w:t>
            </w:r>
            <w:proofErr w:type="spellStart"/>
            <w:r w:rsidRPr="009F03FB">
              <w:t>госзакупок</w:t>
            </w:r>
            <w:proofErr w:type="spellEnd"/>
            <w:r w:rsidRPr="009F03FB">
              <w:t>. Аукцион планируется в ноябре 2014 года  на 150 000 рублей.</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83 999,586</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50 872,546</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pPr>
              <w:rPr>
                <w:highlight w:val="red"/>
              </w:rPr>
            </w:pPr>
            <w:r w:rsidRPr="002651C0">
              <w:t xml:space="preserve">По мероприятиям: содержание территорий кладбищ г. Нефтеюганска, содержание земель общего пользования, механизированная уборка снега исполнение бюджетных ассигнований за 9 мес. 2014 года составило100,0%. Оставшиеся бюджетные ассигнования являются плановыми назначениями 4 квартала 2014 года. Договора заключены, ведутся работы. Экономия после проведения аукционов будет  закрыта.                                                                                                                                                                                                                                              По проведению работ по сбору, вывозу и утилизации промышленных отходов (баржа) бюджетные ассигнования выделены решением Думы № 860-V от 24.09.2014 года. Ведется подготовка документов на проведение аукциона. Оставшиеся  бюджетные ассигнования являются плановыми назначениями 4 квартала 2014 года.                                                                                                                                                  </w:t>
            </w:r>
            <w:r w:rsidRPr="002651C0">
              <w:lastRenderedPageBreak/>
              <w:t xml:space="preserve">По ликвидации </w:t>
            </w:r>
            <w:proofErr w:type="spellStart"/>
            <w:r w:rsidRPr="002651C0">
              <w:t>несанкционир</w:t>
            </w:r>
            <w:proofErr w:type="spellEnd"/>
            <w:r w:rsidRPr="002651C0">
              <w:t xml:space="preserve">. свалок исполнение бюджетных ассигнований за 9 мес. 2014 года составило 99,9%. Ликвидация несанкционированных свалок прошла в 10а мкр, 6 мкр., </w:t>
            </w:r>
            <w:proofErr w:type="spellStart"/>
            <w:r w:rsidRPr="002651C0">
              <w:t>мостотряд</w:t>
            </w:r>
            <w:proofErr w:type="spellEnd"/>
            <w:r w:rsidRPr="002651C0">
              <w:t>, СУ-62. Оставшиеся бюджетные ассигнования являются плановыми назначениями 4 квартала 2014 года. Бюджетные ассигнования выделены решением Думы № 860-V от 24.09.2014 года. Документы находятся на визировании в УМЗ. Проведение аукциона планируется в конце октября 2014 года. Планируется ликвидировать несанкционированные свалки в микрорайонах города 9а, на территории в сторону СУ-62.</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lastRenderedPageBreak/>
              <w:t>4.2</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9F7F1A" w:rsidP="006572B1">
            <w:pPr>
              <w:jc w:val="center"/>
              <w:rPr>
                <w:sz w:val="22"/>
                <w:szCs w:val="22"/>
              </w:rPr>
            </w:pPr>
            <w:r>
              <w:rPr>
                <w:sz w:val="22"/>
                <w:szCs w:val="22"/>
              </w:rPr>
              <w:t>75 680,966</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27 551,739</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rsidP="00C14342">
            <w:pPr>
              <w:rPr>
                <w:highlight w:val="red"/>
              </w:rPr>
            </w:pPr>
            <w:r w:rsidRPr="002651C0">
              <w:t>1)По оплате потребления э/энергии проведение торгов не возможно, т.к. объекты переданы НГ МУП "ЮГЭС". Средства будут закрыты. 2)По устройству снежного городка ведется подготовка документов на проведение аукциона. 3)По поставке МАФ договор не расторгнут. Ведутся судебные разбирательства, в связи с некачественной поставкой МАФ. 4)По поставке  новогодней  иллюминации  и искусственных елей ведется согласование вида иллюминации на градостроительной комиссии. Поданы документы на проведение аукциона. 5)По поставке с установкой мемориальных знаков на фасадах многоквартирных домов аукцион признан не состоявшимся, в виду отсутствия потенциальных подрядчиков. Повторный аукцион состоится в октябре 2014.</w:t>
            </w:r>
          </w:p>
        </w:tc>
      </w:tr>
      <w:tr w:rsidR="009114F2" w:rsidRPr="008D1086" w:rsidTr="00F80BCF">
        <w:trPr>
          <w:trHeight w:val="609"/>
        </w:trPr>
        <w:tc>
          <w:tcPr>
            <w:tcW w:w="709" w:type="dxa"/>
            <w:tcBorders>
              <w:top w:val="single" w:sz="4" w:space="0" w:color="auto"/>
              <w:left w:val="single" w:sz="4" w:space="0" w:color="auto"/>
              <w:bottom w:val="single" w:sz="4" w:space="0" w:color="auto"/>
              <w:right w:val="single" w:sz="2" w:space="0" w:color="000000"/>
            </w:tcBorders>
          </w:tcPr>
          <w:p w:rsidR="009114F2" w:rsidRPr="008D1086" w:rsidRDefault="009114F2"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9114F2" w:rsidRPr="008D1086" w:rsidRDefault="009114F2"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tcPr>
          <w:p w:rsidR="009114F2" w:rsidRPr="006572B1" w:rsidRDefault="009114F2" w:rsidP="006572B1">
            <w:pPr>
              <w:jc w:val="center"/>
              <w:rPr>
                <w:sz w:val="22"/>
                <w:szCs w:val="22"/>
              </w:rPr>
            </w:pPr>
            <w:r w:rsidRPr="006572B1">
              <w:rPr>
                <w:sz w:val="22"/>
                <w:szCs w:val="22"/>
              </w:rPr>
              <w:t>55 115,200</w:t>
            </w:r>
          </w:p>
        </w:tc>
        <w:tc>
          <w:tcPr>
            <w:tcW w:w="1843" w:type="dxa"/>
            <w:tcBorders>
              <w:top w:val="single" w:sz="4" w:space="0" w:color="auto"/>
              <w:left w:val="single" w:sz="4" w:space="0" w:color="auto"/>
              <w:bottom w:val="single" w:sz="4" w:space="0" w:color="auto"/>
              <w:right w:val="single" w:sz="2" w:space="0" w:color="000000"/>
            </w:tcBorders>
          </w:tcPr>
          <w:p w:rsidR="009114F2" w:rsidRPr="006572B1" w:rsidRDefault="009114F2" w:rsidP="006572B1">
            <w:pPr>
              <w:jc w:val="center"/>
              <w:rPr>
                <w:sz w:val="22"/>
                <w:szCs w:val="22"/>
              </w:rPr>
            </w:pPr>
            <w:r>
              <w:rPr>
                <w:sz w:val="22"/>
                <w:szCs w:val="22"/>
              </w:rPr>
              <w:t>45 223,074</w:t>
            </w:r>
          </w:p>
        </w:tc>
        <w:tc>
          <w:tcPr>
            <w:tcW w:w="6662" w:type="dxa"/>
            <w:vMerge w:val="restart"/>
            <w:tcBorders>
              <w:top w:val="single" w:sz="4" w:space="0" w:color="auto"/>
              <w:right w:val="single" w:sz="4" w:space="0" w:color="auto"/>
            </w:tcBorders>
            <w:shd w:val="clear" w:color="auto" w:fill="auto"/>
          </w:tcPr>
          <w:p w:rsidR="009114F2" w:rsidRDefault="009114F2" w:rsidP="009114F2">
            <w:r w:rsidRPr="00CF347B">
              <w:t xml:space="preserve">Бюджетные ассигнования </w:t>
            </w:r>
            <w:r>
              <w:t>за 9</w:t>
            </w:r>
            <w:r w:rsidRPr="00CF347B">
              <w:t xml:space="preserve"> </w:t>
            </w:r>
            <w:r>
              <w:t>мес.</w:t>
            </w:r>
            <w:r w:rsidRPr="00CF347B">
              <w:t xml:space="preserve"> выполнены на </w:t>
            </w:r>
            <w:r>
              <w:t>99</w:t>
            </w:r>
            <w:r w:rsidRPr="00CF347B">
              <w:t xml:space="preserve">% </w:t>
            </w:r>
            <w:r>
              <w:t xml:space="preserve">. </w:t>
            </w:r>
            <w:r w:rsidRPr="00CF347B">
              <w:t xml:space="preserve">Не исполненные бюджетные ассигнования будут исполнены по окончанию </w:t>
            </w:r>
            <w:r>
              <w:t>4</w:t>
            </w:r>
            <w:r w:rsidRPr="00CF347B">
              <w:t xml:space="preserve"> квартала 2014 года. </w:t>
            </w:r>
          </w:p>
        </w:tc>
      </w:tr>
      <w:tr w:rsidR="009114F2" w:rsidRPr="008D1086" w:rsidTr="00F80BCF">
        <w:trPr>
          <w:trHeight w:val="302"/>
        </w:trPr>
        <w:tc>
          <w:tcPr>
            <w:tcW w:w="709" w:type="dxa"/>
            <w:tcBorders>
              <w:top w:val="single" w:sz="4" w:space="0" w:color="auto"/>
              <w:left w:val="single" w:sz="2" w:space="0" w:color="000000"/>
              <w:bottom w:val="single" w:sz="2" w:space="0" w:color="000000"/>
              <w:right w:val="single" w:sz="2" w:space="0" w:color="000000"/>
            </w:tcBorders>
          </w:tcPr>
          <w:p w:rsidR="009114F2" w:rsidRPr="008D1086" w:rsidRDefault="009114F2"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9114F2" w:rsidRPr="008D1086" w:rsidRDefault="009114F2"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tcPr>
          <w:p w:rsidR="009114F2" w:rsidRPr="006572B1" w:rsidRDefault="009114F2" w:rsidP="007778A1">
            <w:pPr>
              <w:jc w:val="center"/>
              <w:rPr>
                <w:sz w:val="22"/>
                <w:szCs w:val="22"/>
              </w:rPr>
            </w:pPr>
            <w:r w:rsidRPr="006572B1">
              <w:rPr>
                <w:sz w:val="22"/>
                <w:szCs w:val="22"/>
              </w:rPr>
              <w:t>109</w:t>
            </w:r>
            <w:r>
              <w:rPr>
                <w:sz w:val="22"/>
                <w:szCs w:val="22"/>
              </w:rPr>
              <w:t> 216,121</w:t>
            </w:r>
          </w:p>
        </w:tc>
        <w:tc>
          <w:tcPr>
            <w:tcW w:w="1843" w:type="dxa"/>
            <w:tcBorders>
              <w:top w:val="single" w:sz="4" w:space="0" w:color="auto"/>
              <w:left w:val="single" w:sz="4" w:space="0" w:color="auto"/>
              <w:bottom w:val="single" w:sz="2" w:space="0" w:color="000000"/>
              <w:right w:val="single" w:sz="2" w:space="0" w:color="000000"/>
            </w:tcBorders>
          </w:tcPr>
          <w:p w:rsidR="009114F2" w:rsidRPr="006572B1" w:rsidRDefault="009114F2" w:rsidP="006572B1">
            <w:pPr>
              <w:jc w:val="center"/>
              <w:rPr>
                <w:sz w:val="22"/>
                <w:szCs w:val="22"/>
              </w:rPr>
            </w:pPr>
            <w:r>
              <w:rPr>
                <w:sz w:val="22"/>
                <w:szCs w:val="22"/>
              </w:rPr>
              <w:t>79 995,504</w:t>
            </w:r>
          </w:p>
        </w:tc>
        <w:tc>
          <w:tcPr>
            <w:tcW w:w="6662" w:type="dxa"/>
            <w:vMerge/>
            <w:tcBorders>
              <w:bottom w:val="single" w:sz="4" w:space="0" w:color="auto"/>
              <w:right w:val="single" w:sz="4" w:space="0" w:color="auto"/>
            </w:tcBorders>
            <w:shd w:val="clear" w:color="auto" w:fill="auto"/>
          </w:tcPr>
          <w:p w:rsidR="009114F2" w:rsidRDefault="009114F2"/>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9F7F1A">
            <w:pPr>
              <w:jc w:val="center"/>
              <w:rPr>
                <w:sz w:val="22"/>
                <w:szCs w:val="22"/>
              </w:rPr>
            </w:pPr>
            <w:r w:rsidRPr="006572B1">
              <w:rPr>
                <w:sz w:val="22"/>
                <w:szCs w:val="22"/>
              </w:rPr>
              <w:t>19</w:t>
            </w:r>
            <w:r w:rsidR="009F7F1A">
              <w:rPr>
                <w:sz w:val="22"/>
                <w:szCs w:val="22"/>
              </w:rPr>
              <w:t> 334,823</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7778A1" w:rsidP="006572B1">
            <w:pPr>
              <w:jc w:val="center"/>
              <w:rPr>
                <w:sz w:val="22"/>
                <w:szCs w:val="22"/>
              </w:rPr>
            </w:pPr>
            <w:r>
              <w:rPr>
                <w:sz w:val="22"/>
                <w:szCs w:val="22"/>
              </w:rPr>
              <w:t>1 337,157</w:t>
            </w:r>
          </w:p>
        </w:tc>
        <w:tc>
          <w:tcPr>
            <w:tcW w:w="6662" w:type="dxa"/>
            <w:tcBorders>
              <w:top w:val="single" w:sz="4" w:space="0" w:color="auto"/>
              <w:bottom w:val="single" w:sz="4" w:space="0" w:color="auto"/>
              <w:right w:val="single" w:sz="4" w:space="0" w:color="auto"/>
            </w:tcBorders>
            <w:shd w:val="clear" w:color="auto" w:fill="auto"/>
          </w:tcPr>
          <w:p w:rsidR="006572B1" w:rsidRPr="007778A1" w:rsidRDefault="002651C0">
            <w:pPr>
              <w:rPr>
                <w:highlight w:val="red"/>
              </w:rPr>
            </w:pPr>
            <w:r w:rsidRPr="002651C0">
              <w:t xml:space="preserve">1) По корректировке </w:t>
            </w:r>
            <w:proofErr w:type="gramStart"/>
            <w:r w:rsidRPr="002651C0">
              <w:t>программы комплексного развития систем коммунальной инфраструктуры муниципального образования</w:t>
            </w:r>
            <w:proofErr w:type="gramEnd"/>
            <w:r w:rsidRPr="002651C0">
              <w:t xml:space="preserve"> город Нефтеюганск на период до 2027 года (7 200 000,00) - проведен аукцион на 897 000,00 рублей. Заключен </w:t>
            </w:r>
            <w:proofErr w:type="spellStart"/>
            <w:r w:rsidRPr="002651C0">
              <w:t>мун</w:t>
            </w:r>
            <w:proofErr w:type="spellEnd"/>
            <w:r w:rsidRPr="002651C0">
              <w:t>. контракт №0187300012814000614 от 11.10.14 на 897 000 рублей</w:t>
            </w:r>
            <w:proofErr w:type="gramStart"/>
            <w:r w:rsidRPr="002651C0">
              <w:t xml:space="preserve">.. </w:t>
            </w:r>
            <w:proofErr w:type="gramEnd"/>
            <w:r w:rsidRPr="002651C0">
              <w:t xml:space="preserve">Экономия будет перераспределена на другие </w:t>
            </w:r>
            <w:r w:rsidRPr="002651C0">
              <w:lastRenderedPageBreak/>
              <w:t xml:space="preserve">мероприятия в 4 квартале 2014 г. 2)  По мероприятию по разработке схем водоснабжения, водоотведения (8 500 000,00) заключён муниципальный контракт №0187300012814000498 от 11.08.14 г. с ООО ЭЦ "Энергобаланс" на сумму 3 550 000 рублей. Находится на согласовании 1 этап контракта у </w:t>
            </w:r>
            <w:proofErr w:type="spellStart"/>
            <w:r w:rsidRPr="002651C0">
              <w:t>джкх</w:t>
            </w:r>
            <w:proofErr w:type="spellEnd"/>
            <w:r w:rsidRPr="002651C0">
              <w:t xml:space="preserve"> (сбор исходных данных). Экономия после проведения работ будет перераспределена на другие мероприятия в программе "ЖКК".  3) По выполнению работ по актуализации схемы "Схема теплоснабжения города Нефтеюганска ХМАО-Югры на период 2014-2028 годов" (1 770 413,00) - ведется разработка конкурсной документации на проведение конкурса, который состоится в ноябре 2014 года.</w:t>
            </w:r>
            <w:r w:rsidR="009F7F1A">
              <w:t xml:space="preserve"> </w:t>
            </w:r>
            <w:r w:rsidRPr="002651C0">
              <w:t>Исполнение бюджетных ассигнований за 9 мес. 2014 года 100,0%. Оставшиеся  бюджетные ассигнования являются плановыми назначениями 4 квартала 2014 года. 4) По прочим текущим расходам (проведение аудита 600 000,00) - план - график на проведение торгов планируется в ноябре. Согласование конкурсной документации с УМЗ, ЮПУ.</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tcPr>
          <w:p w:rsidR="006572B1" w:rsidRPr="009F7F1A" w:rsidRDefault="006572B1" w:rsidP="009F7F1A">
            <w:pPr>
              <w:jc w:val="center"/>
              <w:rPr>
                <w:sz w:val="22"/>
                <w:szCs w:val="22"/>
              </w:rPr>
            </w:pPr>
            <w:r w:rsidRPr="009F7F1A">
              <w:rPr>
                <w:sz w:val="22"/>
                <w:szCs w:val="22"/>
              </w:rPr>
              <w:t>1</w:t>
            </w:r>
            <w:r w:rsidR="009F7F1A" w:rsidRPr="009F7F1A">
              <w:rPr>
                <w:sz w:val="22"/>
                <w:szCs w:val="22"/>
              </w:rPr>
              <w:t> 367 330,422</w:t>
            </w:r>
          </w:p>
        </w:tc>
        <w:tc>
          <w:tcPr>
            <w:tcW w:w="1843" w:type="dxa"/>
            <w:tcBorders>
              <w:top w:val="single" w:sz="2" w:space="0" w:color="000000"/>
              <w:left w:val="single" w:sz="4" w:space="0" w:color="auto"/>
              <w:bottom w:val="single" w:sz="2" w:space="0" w:color="000000"/>
              <w:right w:val="single" w:sz="2" w:space="0" w:color="000000"/>
            </w:tcBorders>
          </w:tcPr>
          <w:p w:rsidR="006572B1" w:rsidRPr="009F7F1A" w:rsidRDefault="009F7F1A" w:rsidP="006572B1">
            <w:pPr>
              <w:jc w:val="center"/>
              <w:rPr>
                <w:sz w:val="22"/>
                <w:szCs w:val="22"/>
              </w:rPr>
            </w:pPr>
            <w:r>
              <w:rPr>
                <w:sz w:val="22"/>
                <w:szCs w:val="22"/>
              </w:rPr>
              <w:t>650 630,065</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bookmarkEnd w:id="0"/>
    </w:tbl>
    <w:p w:rsidR="00BB7738" w:rsidRPr="008D1086" w:rsidRDefault="00BB7738" w:rsidP="006F5105">
      <w:pPr>
        <w:pStyle w:val="14"/>
        <w:tabs>
          <w:tab w:val="left" w:pos="993"/>
        </w:tabs>
        <w:jc w:val="center"/>
      </w:pPr>
    </w:p>
    <w:sectPr w:rsidR="00BB7738" w:rsidRPr="008D1086" w:rsidSect="0076239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003" w:rsidRDefault="001D5003">
      <w:r>
        <w:separator/>
      </w:r>
    </w:p>
  </w:endnote>
  <w:endnote w:type="continuationSeparator" w:id="0">
    <w:p w:rsidR="001D5003" w:rsidRDefault="001D5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003" w:rsidRDefault="001D5003">
      <w:r>
        <w:separator/>
      </w:r>
    </w:p>
  </w:footnote>
  <w:footnote w:type="continuationSeparator" w:id="0">
    <w:p w:rsidR="001D5003" w:rsidRDefault="001D5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F7F1A">
      <w:rPr>
        <w:rStyle w:val="aa"/>
        <w:noProof/>
      </w:rPr>
      <w:t>6</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5003"/>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1C0"/>
    <w:rsid w:val="00265336"/>
    <w:rsid w:val="0026570B"/>
    <w:rsid w:val="00266590"/>
    <w:rsid w:val="00267308"/>
    <w:rsid w:val="00267393"/>
    <w:rsid w:val="00267AD8"/>
    <w:rsid w:val="00273366"/>
    <w:rsid w:val="002734F7"/>
    <w:rsid w:val="002737F1"/>
    <w:rsid w:val="0027414E"/>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2C75"/>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0597"/>
    <w:rsid w:val="005724AB"/>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BAB"/>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05"/>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B03"/>
    <w:rsid w:val="00735C43"/>
    <w:rsid w:val="00740713"/>
    <w:rsid w:val="00743C8D"/>
    <w:rsid w:val="00743EC1"/>
    <w:rsid w:val="0074539C"/>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222F"/>
    <w:rsid w:val="007742E2"/>
    <w:rsid w:val="00776324"/>
    <w:rsid w:val="0077773F"/>
    <w:rsid w:val="00777767"/>
    <w:rsid w:val="007778A1"/>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0C5"/>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14F2"/>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A8E"/>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840"/>
    <w:rsid w:val="009E5AB2"/>
    <w:rsid w:val="009E763C"/>
    <w:rsid w:val="009E7C5A"/>
    <w:rsid w:val="009F03FB"/>
    <w:rsid w:val="009F1FC4"/>
    <w:rsid w:val="009F2246"/>
    <w:rsid w:val="009F3B2E"/>
    <w:rsid w:val="009F3EFB"/>
    <w:rsid w:val="009F4DAE"/>
    <w:rsid w:val="009F69B2"/>
    <w:rsid w:val="009F6DF9"/>
    <w:rsid w:val="009F6FF7"/>
    <w:rsid w:val="009F7F1A"/>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36E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47A"/>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0FF"/>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3351"/>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28C2"/>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5321"/>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1D2"/>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213D-6384-4076-AF11-E2652101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1758</Words>
  <Characters>10022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11757</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34</cp:revision>
  <cp:lastPrinted>2014-10-16T03:30:00Z</cp:lastPrinted>
  <dcterms:created xsi:type="dcterms:W3CDTF">2014-07-08T04:32:00Z</dcterms:created>
  <dcterms:modified xsi:type="dcterms:W3CDTF">2014-12-17T05:57:00Z</dcterms:modified>
</cp:coreProperties>
</file>