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Методические рекомендации по формированию и опубликованию перечня имущества в строящихся объек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ах, возможного к передаче в аренду социальным предприятиям после ввода в эксплуатацию таких объектов, с учетом требований действующего законодательства, предъявляемых к деятельности социальных предприятий в соответствии с их спецификой </w:t>
        <w:br/>
        <w:t xml:space="preserve">(далее – Методические рекомендации)</w:t>
      </w:r>
      <w:r/>
    </w:p>
    <w:p>
      <w:pPr>
        <w:pStyle w:val="876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76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Методические рекомендации разработаны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реализации мероприятий Регионального проекта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 для легкого старта и комфортного ведения бизнеса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по предоставлению комплекса услуг социальным предприятиям в целях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создания условий для обеспечения граждан Российской Федерации доступными и качественными услугами в областях образования, здравоохранения, физической культуры, массового спорта и культуры (да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лее – социальные услуги) в Ханты-Мансийском автономном округе – Югре (далее – автономный округ), информирования заинтересованных лиц об имуществе в строящихся в автономном округе объектах, с использованием которых возможно предоставление социальных услуг. 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В Методических рекомендациях используются следующие понятия: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Социальное предприятие – социально ориентированная некоммерческая организация, субъект малого и среднего предпринимательства, осуществляющий деятельность в сфере социального предпринимательства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Уполномоченный отдел </w:t>
      </w:r>
      <w:bookmarkStart w:id="0" w:name="_Hlk130394936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развития предпринимательства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Департамента экономического развития автономного округа. 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Иные понятия используются в том же значении что и в постановлении Правительства Российской Федерации от 01.10.2015 </w:t>
        <w:br w:type="textWrapping" w:clear="all"/>
        <w:t xml:space="preserve">№ 1050 «Об утверждении требований к программам комплексного развития социальной инфраструктуры поселений, городских округов.</w:t>
      </w:r>
      <w:r/>
    </w:p>
    <w:p>
      <w:pPr>
        <w:pStyle w:val="876"/>
        <w:contextualSpacing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Уполномоченный отдел ежегодно в срок до 1 марта направляе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запросы в органы местного самоуправления (далее – ОМСУ) автономного округа о предоставлении в срок до 15 марта информации необходимой для формирования перечня имущества в строящихся объектах, возможного к передаче в аренду социальным предприятиям после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вода в эксплуатацию таких объектов, с учетом требований действующего законодательства, предъявляемых к деятельности социальных предприятий в соответствии с их спецификой, в целях комплексного развития социальной инфраструктуры поселений, городских округов.</w:t>
      </w:r>
      <w:r/>
    </w:p>
    <w:p>
      <w:pPr>
        <w:pStyle w:val="876"/>
        <w:contextualSpacing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ОМСУ предоставляют в Департамент информацию о развитии социальной инфраструктуры поселений, городских округов с приложением: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сведений о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мероприятий по проектированию, строительству,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реконструкции объектов социальной инфраструктуры поселения, городского округа, которые предусмотрены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-экономического развития муниципального образования, планом и программой комплексного социально-экономического развития поселения, городского округа, договорами о развитии застроенных территорий, договорами о комплексном освоении территорий, договорами о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омплексном развитии территории,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1);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сведений о выданных в отчетном году разрешениях на строительство, предусматривающих создание объектов жилищного строительства в составе которых предусмотрено создание объектов нежилого назначения,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использованием которых возможно предоставление социальных услуг (приложение 2).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Уполномоченный отдел течении 3 рабочих дней с даты пос</w:t>
      </w:r>
      <w:r>
        <w:rPr>
          <w:rFonts w:ascii="Times New Roman" w:hAnsi="Times New Roman"/>
          <w:sz w:val="28"/>
          <w:szCs w:val="28"/>
          <w:lang w:eastAsia="ru-RU"/>
        </w:rPr>
        <w:t xml:space="preserve">тупления информации от ОМСУ передает  её в Фонд поддержки предпринимательства Югры «Мой Бизнес» для формирования перечня имущества в строящихся объектах, возможного к передаче в аренду социальным предприятиям после ввода в эксплуатацию таких объектов, с уч</w:t>
      </w:r>
      <w:r>
        <w:rPr>
          <w:rFonts w:ascii="Times New Roman" w:hAnsi="Times New Roman"/>
          <w:sz w:val="28"/>
          <w:szCs w:val="28"/>
          <w:lang w:eastAsia="ru-RU"/>
        </w:rPr>
        <w:t xml:space="preserve">етом требований действующего законодательства, предъявляемых к деятельности социальных предприятий в соответствии с их спецификой, и размещения данного перечня на портале малого и среднего предпринимательства бизнесюгры.рф и официальном сайте Департамента.</w:t>
      </w:r>
      <w:r/>
    </w:p>
    <w:p>
      <w:pPr>
        <w:pStyle w:val="876"/>
        <w:ind w:left="0" w:right="0" w:firstLine="709"/>
        <w:jc w:val="both"/>
        <w:spacing w:after="0"/>
        <w:tabs>
          <w:tab w:val="left" w:pos="992" w:leader="none"/>
        </w:tabs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</w:r>
      <w:r/>
    </w:p>
    <w:p>
      <w:pPr>
        <w:pStyle w:val="876"/>
        <w:tabs>
          <w:tab w:val="left" w:pos="2640" w:leader="none"/>
        </w:tabs>
        <w:rPr>
          <w:rFonts w:ascii="Times New Roman" w:hAnsi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1134" w:bottom="1134" w:left="1559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/>
    </w:p>
    <w:p>
      <w:pPr>
        <w:pStyle w:val="87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реализации в ___ </w:t>
      </w:r>
      <w:r>
        <w:rPr>
          <w:color w:val="000000"/>
          <w:sz w:val="28"/>
          <w:szCs w:val="28"/>
          <w:u w:val="single"/>
        </w:rPr>
        <w:t xml:space="preserve">наименование муниципального образования___</w:t>
      </w:r>
      <w:r>
        <w:rPr>
          <w:color w:val="000000"/>
          <w:sz w:val="28"/>
          <w:szCs w:val="28"/>
        </w:rPr>
        <w:t xml:space="preserve"> в отчетном году </w:t>
      </w:r>
      <w:r>
        <w:rPr>
          <w:color w:val="000000"/>
          <w:sz w:val="28"/>
          <w:szCs w:val="28"/>
        </w:rPr>
        <w:t xml:space="preserve">мероприяти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по проектированию, строительству, реконструкции объектов социальной инфраструктуры поселения, городского округа</w:t>
      </w:r>
      <w:r>
        <w:rPr>
          <w:color w:val="000000"/>
          <w:sz w:val="28"/>
          <w:szCs w:val="28"/>
        </w:rPr>
      </w:r>
      <w:r/>
    </w:p>
    <w:p>
      <w:pPr>
        <w:pStyle w:val="915"/>
        <w:numPr>
          <w:ilvl w:val="0"/>
          <w:numId w:val="22"/>
        </w:num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Реквизиты программ комплексного развития социальной инфраструктуры поселений, городских округов ___</w:t>
      </w:r>
      <w:r>
        <w:rPr>
          <w:color w:val="000000"/>
          <w:sz w:val="24"/>
          <w:szCs w:val="24"/>
        </w:rPr>
        <w:t xml:space="preserve">__</w:t>
      </w:r>
      <w:r>
        <w:rPr>
          <w:color w:val="000000"/>
          <w:sz w:val="24"/>
          <w:szCs w:val="24"/>
        </w:rPr>
      </w:r>
      <w:r/>
    </w:p>
    <w:p>
      <w:pPr>
        <w:pStyle w:val="915"/>
        <w:numPr>
          <w:ilvl w:val="0"/>
          <w:numId w:val="22"/>
        </w:num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реализации мероприятий (инвестиционных проектов), предусмотренных программой комплексного развития социальной инфраструктуры поселений, городских округов</w:t>
      </w:r>
      <w:r>
        <w:rPr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</w:r>
      <w:r/>
    </w:p>
    <w:p>
      <w:pPr>
        <w:pStyle w:val="915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tbl>
      <w:tblPr>
        <w:tblW w:w="1432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089"/>
        <w:gridCol w:w="1747"/>
        <w:gridCol w:w="1352"/>
        <w:gridCol w:w="1623"/>
        <w:gridCol w:w="1664"/>
        <w:gridCol w:w="1606"/>
        <w:gridCol w:w="1688"/>
      </w:tblGrid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мероприятия</w:t>
            </w:r>
            <w:r/>
          </w:p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(инвестиционных проектов) </w:t>
            </w:r>
            <w:r/>
          </w:p>
        </w:tc>
        <w:tc>
          <w:tcPr>
            <w:tcW w:w="2089" w:type="dxa"/>
            <w:vAlign w:val="top"/>
            <w:textDirection w:val="lrTb"/>
            <w:noWrap w:val="false"/>
          </w:tcPr>
          <w:p>
            <w:pPr>
              <w:pStyle w:val="915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Планируемая дата ввода объекта в эксплуатацию</w:t>
            </w:r>
            <w:r/>
          </w:p>
        </w:tc>
        <w:tc>
          <w:tcPr>
            <w:tcW w:w="1747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и реквизиты документа, на основании которого осуществляется строительство объекта (договор подряда, договор комплексного развития территорий, концессионное соглашение, инвестиционное соглашение и т.п.)</w:t>
            </w:r>
            <w:r/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и адрес земельного участка</w:t>
            </w:r>
            <w:r/>
          </w:p>
        </w:tc>
        <w:tc>
          <w:tcPr>
            <w:tcW w:w="1623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объекта (планируемая дата ввода в эксплуатацию, площадь, отдельный вход, этаж, освещенность и т.д.)</w:t>
            </w:r>
            <w:r/>
          </w:p>
        </w:tc>
        <w:tc>
          <w:tcPr>
            <w:tcW w:w="166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социальных услуг возможных к предоставлению с использованием объектов</w:t>
            </w:r>
            <w:r/>
          </w:p>
        </w:tc>
        <w:tc>
          <w:tcPr>
            <w:tcW w:w="1606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меры муниципальной поддержки социального предприятия по размещению на объекте (компенсация арендной платы, коммунальных платежей и т.п.) </w:t>
            </w:r>
            <w:r/>
          </w:p>
        </w:tc>
        <w:tc>
          <w:tcPr>
            <w:tcW w:w="168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Контактная информация должностного лица муниципального образования, ответственного за достижение расчетного уровня обеспеченности </w:t>
            </w:r>
            <w:r/>
          </w:p>
        </w:tc>
      </w:tr>
    </w:tbl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/>
    </w:p>
    <w:p>
      <w:pPr>
        <w:pStyle w:val="91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выданных </w:t>
      </w:r>
      <w:r>
        <w:rPr>
          <w:color w:val="000000"/>
          <w:sz w:val="28"/>
          <w:szCs w:val="28"/>
          <w:u w:val="single"/>
        </w:rPr>
        <w:t xml:space="preserve">___________(наименование муниципального образования)_____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в отчетном году разрешений на строительство, предусматривающих создание объектов жилищного строительства в составе которых предусмотрено создание объектов нежилого назначения,</w:t>
      </w:r>
      <w:r>
        <w:t xml:space="preserve"> </w:t>
      </w:r>
      <w:r>
        <w:rPr>
          <w:color w:val="000000"/>
          <w:sz w:val="28"/>
          <w:szCs w:val="28"/>
        </w:rPr>
        <w:t xml:space="preserve">с использованием которых возможно предоставление социальных услуг</w:t>
      </w:r>
      <w:r>
        <w:rPr>
          <w:color w:val="000000"/>
          <w:sz w:val="28"/>
          <w:szCs w:val="28"/>
        </w:rPr>
      </w:r>
      <w:r/>
    </w:p>
    <w:p>
      <w:pPr>
        <w:pStyle w:val="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14139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24"/>
        <w:gridCol w:w="1513"/>
        <w:gridCol w:w="1377"/>
        <w:gridCol w:w="1747"/>
        <w:gridCol w:w="1352"/>
        <w:gridCol w:w="1623"/>
        <w:gridCol w:w="1664"/>
        <w:gridCol w:w="1998"/>
        <w:gridCol w:w="1606"/>
        <w:gridCol w:w="1688"/>
      </w:tblGrid>
      <w:tr>
        <w:trPr/>
        <w:tc>
          <w:tcPr>
            <w:tcW w:w="313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разрешения на строительство,  планируемая дата ввода объекта в эксплуатацию</w:t>
            </w:r>
            <w:r/>
          </w:p>
        </w:tc>
        <w:tc>
          <w:tcPr>
            <w:tcW w:w="130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Контактная информация застройщика, получившего разрешение</w:t>
            </w:r>
            <w:r/>
          </w:p>
        </w:tc>
        <w:tc>
          <w:tcPr>
            <w:tcW w:w="165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обязательств застройщика по завершению в установленные сроки мероприятий по проектированию, строительству, реконструкции объектов социальной инфраструктуры (инвестиционное соглашение, договор комплексного развития территорий</w:t>
            </w:r>
            <w:r/>
          </w:p>
        </w:tc>
        <w:tc>
          <w:tcPr>
            <w:tcW w:w="128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и адрес земельного участка</w:t>
            </w:r>
            <w:r/>
          </w:p>
        </w:tc>
        <w:tc>
          <w:tcPr>
            <w:tcW w:w="1540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объекта нежилого помещения (планируемая дата ввода в эксплуатацию, площадь, отдельный вход, этаж, освещенность и т.д.)</w:t>
            </w:r>
            <w:r/>
          </w:p>
        </w:tc>
        <w:tc>
          <w:tcPr>
            <w:tcW w:w="1579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социальных услуг возможных к предоставлению с использованием объектов нежилого назначения </w:t>
            </w:r>
            <w:r/>
          </w:p>
        </w:tc>
        <w:tc>
          <w:tcPr>
            <w:tcW w:w="1895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мероприятия (по размещению</w:t>
            </w:r>
            <w:r>
              <w:rPr>
                <w:sz w:val="22"/>
                <w:szCs w:val="22"/>
              </w:rPr>
              <w:t xml:space="preserve"> на объекте социального предприятия)  на достижение расчетного уровня обеспеченности населения поселения, городского округа социальными услугами, в соответствии с нормативами градостроительного проектирования соответственно поселения или городского округа </w:t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меры муниципальной поддержки социального предприятия по размещению на объекте (компенсация арендной платы, коммунальных платежей и т.п.) </w:t>
            </w:r>
            <w:r/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Контактная информация должностного лица муниципального образования, ответственного за достижение расчетного уровня обеспеченности </w:t>
            </w:r>
            <w:r/>
          </w:p>
        </w:tc>
      </w:tr>
      <w:tr>
        <w:trPr/>
        <w:tc>
          <w:tcPr>
            <w:tcW w:w="313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30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65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8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40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79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95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/>
    </w:p>
    <w:p>
      <w:pPr>
        <w:pStyle w:val="9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</w:t>
      </w:r>
      <w:r>
        <w:rPr>
          <w:sz w:val="28"/>
          <w:szCs w:val="28"/>
        </w:rPr>
        <w:t xml:space="preserve">ень</w:t>
      </w:r>
      <w:r>
        <w:rPr>
          <w:sz w:val="28"/>
          <w:szCs w:val="28"/>
        </w:rPr>
        <w:t xml:space="preserve"> имущества в строящихся объектах, возможного к передаче в аренду социальным предприятиям</w:t>
      </w:r>
      <w:r>
        <w:rPr>
          <w:sz w:val="28"/>
          <w:szCs w:val="28"/>
        </w:rPr>
      </w:r>
      <w:r/>
    </w:p>
    <w:p>
      <w:pPr>
        <w:pStyle w:val="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после ввода в эксплуатацию таких объектов</w:t>
      </w:r>
      <w:r>
        <w:rPr>
          <w:sz w:val="28"/>
          <w:szCs w:val="28"/>
        </w:rPr>
      </w:r>
      <w:r/>
    </w:p>
    <w:p>
      <w:pPr>
        <w:pStyle w:val="91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4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24"/>
        <w:gridCol w:w="1642"/>
        <w:gridCol w:w="1352"/>
        <w:gridCol w:w="1784"/>
        <w:gridCol w:w="2831"/>
        <w:gridCol w:w="1623"/>
        <w:gridCol w:w="1664"/>
        <w:gridCol w:w="1720"/>
        <w:gridCol w:w="1688"/>
      </w:tblGrid>
      <w:tr>
        <w:trPr/>
        <w:tc>
          <w:tcPr>
            <w:tcW w:w="32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/>
          </w:p>
        </w:tc>
        <w:tc>
          <w:tcPr>
            <w:tcW w:w="164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образование</w:t>
            </w:r>
            <w:r/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и адрес земельного участка</w:t>
            </w:r>
            <w:r/>
          </w:p>
        </w:tc>
        <w:tc>
          <w:tcPr>
            <w:tcW w:w="178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Контактная информация застройщика, обладающего имущественными правами на объект</w:t>
            </w:r>
            <w:r/>
          </w:p>
        </w:tc>
        <w:tc>
          <w:tcPr>
            <w:tcW w:w="2831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обязательств застрой</w:t>
            </w:r>
            <w:r>
              <w:rPr>
                <w:sz w:val="22"/>
                <w:szCs w:val="22"/>
              </w:rPr>
              <w:t xml:space="preserve">щика по завершению в установленные сроки мероприятий по проектированию, строительству, реконструкции объектов социальной инфраструктуры (концессионное соглашение, договор подряда, инвестиционное соглашение, договор комплексного развития территорий и т .п.)</w:t>
            </w:r>
            <w:r/>
          </w:p>
        </w:tc>
        <w:tc>
          <w:tcPr>
            <w:tcW w:w="1623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объекта (планируемая дата ввода в эксплуатацию, площадь, отдельный вход, этаж, освещенность и т.д.)</w:t>
            </w:r>
            <w:r/>
          </w:p>
        </w:tc>
        <w:tc>
          <w:tcPr>
            <w:tcW w:w="166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социальных услуг возможных к предоставлению с использованием объектов </w:t>
            </w:r>
            <w:r/>
          </w:p>
        </w:tc>
        <w:tc>
          <w:tcPr>
            <w:tcW w:w="1720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меры поддержки социального предприятия по размещению на объекте (компенсация арендной платы, коммунальных платежей и т.п.)</w:t>
            </w:r>
            <w:r/>
          </w:p>
        </w:tc>
        <w:tc>
          <w:tcPr>
            <w:tcW w:w="168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Контактная информация  ответственного должностного лица муниципального образования </w:t>
            </w:r>
            <w:r/>
          </w:p>
        </w:tc>
      </w:tr>
      <w:tr>
        <w:trPr/>
        <w:tc>
          <w:tcPr>
            <w:tcW w:w="32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64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78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2831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623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664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720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688" w:type="dxa"/>
            <w:vAlign w:val="top"/>
            <w:textDirection w:val="lrTb"/>
            <w:noWrap w:val="false"/>
          </w:tcPr>
          <w:p>
            <w:pPr>
              <w:pStyle w:val="91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91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559" w:right="1134" w:bottom="1276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76"/>
        <w:ind w:left="1287" w:hanging="72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3180" w:hanging="360"/>
        <w:tabs>
          <w:tab w:val="num" w:pos="31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3900" w:hanging="360"/>
        <w:tabs>
          <w:tab w:val="num" w:pos="39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4620" w:hanging="180"/>
        <w:tabs>
          <w:tab w:val="num" w:pos="46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5340" w:hanging="360"/>
        <w:tabs>
          <w:tab w:val="num" w:pos="53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6060" w:hanging="360"/>
        <w:tabs>
          <w:tab w:val="num" w:pos="60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6780" w:hanging="180"/>
        <w:tabs>
          <w:tab w:val="num" w:pos="67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7500" w:hanging="360"/>
        <w:tabs>
          <w:tab w:val="num" w:pos="75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8220" w:hanging="360"/>
        <w:tabs>
          <w:tab w:val="num" w:pos="82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8940" w:hanging="180"/>
        <w:tabs>
          <w:tab w:val="num" w:pos="89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6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6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6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6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6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6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6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6"/>
        <w:ind w:left="286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560" w:hanging="360"/>
        <w:tabs>
          <w:tab w:val="num" w:pos="15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2280" w:hanging="360"/>
        <w:tabs>
          <w:tab w:val="num" w:pos="22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3000" w:hanging="180"/>
        <w:tabs>
          <w:tab w:val="num" w:pos="30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720" w:hanging="360"/>
        <w:tabs>
          <w:tab w:val="num" w:pos="37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4440" w:hanging="360"/>
        <w:tabs>
          <w:tab w:val="num" w:pos="44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5160" w:hanging="180"/>
        <w:tabs>
          <w:tab w:val="num" w:pos="5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880" w:hanging="360"/>
        <w:tabs>
          <w:tab w:val="num" w:pos="58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600" w:hanging="360"/>
        <w:tabs>
          <w:tab w:val="num" w:pos="66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7320" w:hanging="180"/>
        <w:tabs>
          <w:tab w:val="num" w:pos="7320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6"/>
        <w:ind w:left="900" w:hanging="54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87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76"/>
        <w:ind w:left="1287" w:hanging="72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8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76"/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6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6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6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6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6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6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6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6"/>
        <w:ind w:left="2520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1"/>
  </w:num>
  <w:num w:numId="5">
    <w:abstractNumId w:val="4"/>
  </w:num>
  <w:num w:numId="6">
    <w:abstractNumId w:val="17"/>
  </w:num>
  <w:num w:numId="7">
    <w:abstractNumId w:val="18"/>
  </w:num>
  <w:num w:numId="8">
    <w:abstractNumId w:val="9"/>
  </w:num>
  <w:num w:numId="9">
    <w:abstractNumId w:val="13"/>
  </w:num>
  <w:num w:numId="10">
    <w:abstractNumId w:val="3"/>
  </w:num>
  <w:num w:numId="11">
    <w:abstractNumId w:val="19"/>
  </w:num>
  <w:num w:numId="12">
    <w:abstractNumId w:val="15"/>
  </w:num>
  <w:num w:numId="13">
    <w:abstractNumId w:val="12"/>
  </w:num>
  <w:num w:numId="14">
    <w:abstractNumId w:val="5"/>
  </w:num>
  <w:num w:numId="15">
    <w:abstractNumId w:val="16"/>
  </w:num>
  <w:num w:numId="16">
    <w:abstractNumId w:val="1"/>
  </w:num>
  <w:num w:numId="17">
    <w:abstractNumId w:val="11"/>
  </w:num>
  <w:num w:numId="18">
    <w:abstractNumId w:val="20"/>
  </w:num>
  <w:num w:numId="19">
    <w:abstractNumId w:val="2"/>
  </w:num>
  <w:num w:numId="20">
    <w:abstractNumId w:val="14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7">
    <w:name w:val="Заголовок 1"/>
    <w:basedOn w:val="876"/>
    <w:next w:val="876"/>
    <w:link w:val="889"/>
    <w:qFormat/>
    <w:pPr>
      <w:jc w:val="center"/>
      <w:keepNext/>
      <w:spacing w:after="0" w:line="240" w:lineRule="auto"/>
      <w:widowControl w:val="off"/>
      <w:outlineLvl w:val="0"/>
    </w:pPr>
    <w:rPr>
      <w:rFonts w:ascii="Arial" w:hAnsi="Arial"/>
      <w:b/>
      <w:color w:val="000000"/>
      <w:sz w:val="28"/>
      <w:szCs w:val="20"/>
      <w:lang w:eastAsia="ru-RU"/>
    </w:rPr>
  </w:style>
  <w:style w:type="paragraph" w:styleId="878">
    <w:name w:val="Заголовок 2"/>
    <w:basedOn w:val="876"/>
    <w:next w:val="876"/>
    <w:link w:val="876"/>
    <w:qFormat/>
    <w:pPr>
      <w:keepNext/>
      <w:spacing w:after="0" w:line="240" w:lineRule="auto"/>
      <w:widowControl w:val="off"/>
      <w:outlineLvl w:val="1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79">
    <w:name w:val="Заголовок 3"/>
    <w:basedOn w:val="876"/>
    <w:next w:val="876"/>
    <w:link w:val="87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0">
    <w:name w:val="Заголовок 4"/>
    <w:basedOn w:val="876"/>
    <w:next w:val="876"/>
    <w:link w:val="902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881">
    <w:name w:val="Заголовок 6"/>
    <w:basedOn w:val="876"/>
    <w:next w:val="876"/>
    <w:link w:val="876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character" w:styleId="882">
    <w:name w:val="Основной шрифт абзаца"/>
    <w:next w:val="882"/>
    <w:link w:val="876"/>
    <w:uiPriority w:val="1"/>
    <w:unhideWhenUsed/>
  </w:style>
  <w:style w:type="table" w:styleId="883">
    <w:name w:val="Обычная таблица"/>
    <w:next w:val="883"/>
    <w:link w:val="876"/>
    <w:uiPriority w:val="99"/>
    <w:semiHidden/>
    <w:unhideWhenUsed/>
    <w:qFormat/>
    <w:tblPr/>
  </w:style>
  <w:style w:type="numbering" w:styleId="884">
    <w:name w:val="Нет списка"/>
    <w:next w:val="884"/>
    <w:link w:val="876"/>
    <w:uiPriority w:val="99"/>
    <w:semiHidden/>
    <w:unhideWhenUsed/>
  </w:style>
  <w:style w:type="paragraph" w:styleId="885">
    <w:name w:val="ConsPlusNonformat"/>
    <w:next w:val="885"/>
    <w:link w:val="87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86">
    <w:name w:val="ConsPlusTitle"/>
    <w:next w:val="886"/>
    <w:link w:val="876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887">
    <w:name w:val="ConsPlusCell"/>
    <w:next w:val="887"/>
    <w:link w:val="87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88">
    <w:name w:val="Основной текст с отступом"/>
    <w:basedOn w:val="876"/>
    <w:next w:val="888"/>
    <w:link w:val="876"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9">
    <w:name w:val="Заголовок 1 Знак"/>
    <w:next w:val="889"/>
    <w:link w:val="877"/>
    <w:rPr>
      <w:rFonts w:ascii="Arial" w:hAnsi="Arial"/>
      <w:b/>
      <w:color w:val="000000"/>
      <w:sz w:val="28"/>
      <w:lang w:val="ru-RU" w:eastAsia="ru-RU" w:bidi="ar-SA"/>
    </w:rPr>
  </w:style>
  <w:style w:type="paragraph" w:styleId="890">
    <w:name w:val="Heading"/>
    <w:next w:val="890"/>
    <w:link w:val="876"/>
    <w:pPr>
      <w:widowControl w:val="off"/>
    </w:pPr>
    <w:rPr>
      <w:rFonts w:ascii="Arial" w:hAnsi="Arial" w:eastAsia="Times New Roman"/>
      <w:b/>
      <w:sz w:val="22"/>
      <w:lang w:val="ru-RU" w:eastAsia="ru-RU" w:bidi="ar-SA"/>
    </w:rPr>
  </w:style>
  <w:style w:type="paragraph" w:styleId="891">
    <w:name w:val="Верхний колонтитул"/>
    <w:basedOn w:val="876"/>
    <w:next w:val="891"/>
    <w:link w:val="908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92">
    <w:name w:val="заголовок 2"/>
    <w:basedOn w:val="876"/>
    <w:next w:val="876"/>
    <w:link w:val="876"/>
    <w:pPr>
      <w:keepNext/>
      <w:spacing w:after="0" w:line="240" w:lineRule="auto"/>
      <w:widowControl w:val="off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893">
    <w:name w:val="Нижний колонтитул"/>
    <w:basedOn w:val="876"/>
    <w:next w:val="893"/>
    <w:link w:val="899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4"/>
      <w:szCs w:val="20"/>
      <w:lang w:val="en-US" w:eastAsia="en-US"/>
    </w:rPr>
  </w:style>
  <w:style w:type="paragraph" w:styleId="894">
    <w:name w:val="Основной текст 3"/>
    <w:basedOn w:val="876"/>
    <w:next w:val="894"/>
    <w:link w:val="876"/>
    <w:pPr>
      <w:spacing w:after="120"/>
    </w:pPr>
    <w:rPr>
      <w:sz w:val="16"/>
      <w:szCs w:val="16"/>
    </w:rPr>
  </w:style>
  <w:style w:type="paragraph" w:styleId="895">
    <w:name w:val="Название"/>
    <w:basedOn w:val="876"/>
    <w:next w:val="895"/>
    <w:link w:val="876"/>
    <w:qFormat/>
    <w:pPr>
      <w:jc w:val="center"/>
      <w:spacing w:after="0" w:line="240" w:lineRule="auto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896">
    <w:name w:val="Текст"/>
    <w:basedOn w:val="876"/>
    <w:next w:val="896"/>
    <w:link w:val="876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7">
    <w:name w:val="Основной текст"/>
    <w:basedOn w:val="876"/>
    <w:next w:val="897"/>
    <w:link w:val="898"/>
    <w:uiPriority w:val="99"/>
    <w:semiHidden/>
    <w:unhideWhenUsed/>
    <w:pPr>
      <w:spacing w:after="120"/>
    </w:pPr>
    <w:rPr>
      <w:lang w:val="en-US"/>
    </w:rPr>
  </w:style>
  <w:style w:type="character" w:styleId="898">
    <w:name w:val="Основной текст Знак"/>
    <w:next w:val="898"/>
    <w:link w:val="897"/>
    <w:uiPriority w:val="99"/>
    <w:semiHidden/>
    <w:rPr>
      <w:sz w:val="22"/>
      <w:szCs w:val="22"/>
      <w:lang w:eastAsia="en-US"/>
    </w:rPr>
  </w:style>
  <w:style w:type="character" w:styleId="899">
    <w:name w:val="Нижний колонтитул Знак"/>
    <w:next w:val="899"/>
    <w:link w:val="893"/>
    <w:uiPriority w:val="99"/>
    <w:rPr>
      <w:rFonts w:ascii="Times New Roman" w:hAnsi="Times New Roman" w:eastAsia="Times New Roman"/>
      <w:sz w:val="24"/>
    </w:rPr>
  </w:style>
  <w:style w:type="paragraph" w:styleId="900">
    <w:name w:val="Текст выноски"/>
    <w:basedOn w:val="876"/>
    <w:next w:val="900"/>
    <w:link w:val="90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02">
    <w:name w:val="Заголовок 4 Знак"/>
    <w:next w:val="902"/>
    <w:link w:val="880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table" w:styleId="903">
    <w:name w:val="Сетка таблицы"/>
    <w:basedOn w:val="883"/>
    <w:next w:val="903"/>
    <w:link w:val="876"/>
    <w:uiPriority w:val="59"/>
    <w:tblPr/>
  </w:style>
  <w:style w:type="paragraph" w:styleId="904">
    <w:name w:val="ConsPlusNormal"/>
    <w:next w:val="904"/>
    <w:link w:val="876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05">
    <w:name w:val="Обычный (веб)"/>
    <w:basedOn w:val="876"/>
    <w:next w:val="905"/>
    <w:link w:val="87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6">
    <w:name w:val="Цветовое выделение"/>
    <w:next w:val="906"/>
    <w:link w:val="876"/>
    <w:rPr>
      <w:b/>
      <w:bCs/>
      <w:color w:val="000080"/>
    </w:rPr>
  </w:style>
  <w:style w:type="character" w:styleId="907">
    <w:name w:val="Гипертекстовая ссылка"/>
    <w:next w:val="907"/>
    <w:link w:val="876"/>
    <w:rPr>
      <w:b/>
      <w:bCs/>
      <w:color w:val="008000"/>
    </w:rPr>
  </w:style>
  <w:style w:type="character" w:styleId="908">
    <w:name w:val="Верхний колонтитул Знак"/>
    <w:next w:val="908"/>
    <w:link w:val="891"/>
    <w:uiPriority w:val="99"/>
    <w:rPr>
      <w:rFonts w:ascii="Times New Roman" w:hAnsi="Times New Roman" w:eastAsia="Times New Roman"/>
    </w:rPr>
  </w:style>
  <w:style w:type="character" w:styleId="909">
    <w:name w:val="Номер строки"/>
    <w:next w:val="909"/>
    <w:link w:val="876"/>
    <w:uiPriority w:val="99"/>
    <w:semiHidden/>
    <w:unhideWhenUsed/>
  </w:style>
  <w:style w:type="character" w:styleId="910">
    <w:name w:val="Знак примечания"/>
    <w:next w:val="910"/>
    <w:link w:val="876"/>
    <w:uiPriority w:val="99"/>
    <w:semiHidden/>
    <w:unhideWhenUsed/>
    <w:rPr>
      <w:sz w:val="16"/>
      <w:szCs w:val="16"/>
    </w:rPr>
  </w:style>
  <w:style w:type="paragraph" w:styleId="911">
    <w:name w:val="Текст примечания"/>
    <w:basedOn w:val="876"/>
    <w:next w:val="911"/>
    <w:link w:val="912"/>
    <w:uiPriority w:val="99"/>
    <w:semiHidden/>
    <w:unhideWhenUsed/>
    <w:rPr>
      <w:sz w:val="20"/>
      <w:szCs w:val="20"/>
    </w:rPr>
  </w:style>
  <w:style w:type="character" w:styleId="912">
    <w:name w:val="Текст примечания Знак"/>
    <w:next w:val="912"/>
    <w:link w:val="911"/>
    <w:uiPriority w:val="99"/>
    <w:semiHidden/>
    <w:rPr>
      <w:lang w:eastAsia="en-US"/>
    </w:rPr>
  </w:style>
  <w:style w:type="paragraph" w:styleId="913">
    <w:name w:val="Тема примечания"/>
    <w:basedOn w:val="911"/>
    <w:next w:val="911"/>
    <w:link w:val="914"/>
    <w:uiPriority w:val="99"/>
    <w:semiHidden/>
    <w:unhideWhenUsed/>
    <w:rPr>
      <w:b/>
      <w:bCs/>
    </w:rPr>
  </w:style>
  <w:style w:type="character" w:styleId="914">
    <w:name w:val="Тема примечания Знак"/>
    <w:next w:val="914"/>
    <w:link w:val="913"/>
    <w:uiPriority w:val="99"/>
    <w:semiHidden/>
    <w:rPr>
      <w:b/>
      <w:bCs/>
      <w:lang w:eastAsia="en-US"/>
    </w:rPr>
  </w:style>
  <w:style w:type="paragraph" w:styleId="915">
    <w:name w:val="Абзац списка"/>
    <w:basedOn w:val="876"/>
    <w:next w:val="915"/>
    <w:link w:val="876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EliseevaLA</dc:creator>
  <cp:revision>5</cp:revision>
  <dcterms:created xsi:type="dcterms:W3CDTF">2023-04-10T05:31:00Z</dcterms:created>
  <dcterms:modified xsi:type="dcterms:W3CDTF">2023-06-19T04:59:09Z</dcterms:modified>
  <cp:version>917504</cp:version>
</cp:coreProperties>
</file>