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41070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BE67A7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26300" w:rsidRPr="000D25EF" w:rsidRDefault="000A0E22" w:rsidP="008058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5837">
        <w:rPr>
          <w:rFonts w:ascii="Times New Roman" w:hAnsi="Times New Roman" w:cs="Times New Roman"/>
          <w:sz w:val="28"/>
          <w:szCs w:val="28"/>
        </w:rPr>
        <w:t>.03.2024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05837">
        <w:rPr>
          <w:rFonts w:ascii="Times New Roman" w:hAnsi="Times New Roman" w:cs="Times New Roman"/>
          <w:sz w:val="28"/>
          <w:szCs w:val="28"/>
        </w:rPr>
        <w:t>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1070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 w:rsidR="007B7AB2">
        <w:rPr>
          <w:b/>
          <w:sz w:val="28"/>
          <w:szCs w:val="28"/>
        </w:rPr>
        <w:t xml:space="preserve">31.07.2023 </w:t>
      </w:r>
      <w:r>
        <w:rPr>
          <w:b/>
          <w:sz w:val="28"/>
          <w:szCs w:val="28"/>
        </w:rPr>
        <w:t xml:space="preserve">№ </w:t>
      </w:r>
      <w:r w:rsidR="007B7AB2">
        <w:rPr>
          <w:b/>
          <w:sz w:val="28"/>
          <w:szCs w:val="28"/>
        </w:rPr>
        <w:t>93</w:t>
      </w:r>
      <w:r w:rsidRPr="001704D4">
        <w:rPr>
          <w:b/>
          <w:sz w:val="28"/>
          <w:szCs w:val="28"/>
        </w:rPr>
        <w:t xml:space="preserve">-нп «О порядке осуществления </w:t>
      </w:r>
      <w:r w:rsidR="007B7AB2">
        <w:rPr>
          <w:b/>
          <w:sz w:val="28"/>
          <w:szCs w:val="28"/>
        </w:rPr>
        <w:t xml:space="preserve">расходов на содержание жилых помещений жилищного фонда муниципального образования </w:t>
      </w:r>
      <w:r w:rsidRPr="001704D4">
        <w:rPr>
          <w:b/>
          <w:sz w:val="28"/>
          <w:szCs w:val="28"/>
        </w:rPr>
        <w:t>город Нефтеюганск</w:t>
      </w:r>
    </w:p>
    <w:p w:rsidR="00E434CC" w:rsidRPr="001704D4" w:rsidRDefault="007B7AB2" w:rsidP="00E434CC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и оплату коммунальных услуг до их заселения</w:t>
      </w:r>
      <w:r w:rsidR="00E434CC" w:rsidRPr="001704D4">
        <w:rPr>
          <w:b/>
          <w:sz w:val="28"/>
          <w:szCs w:val="28"/>
        </w:rPr>
        <w:t>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7B7AB2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07105A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3 статьи 153 Жилищного кодекса Российской Федерации,  Уставом города Нефтеюганска,</w:t>
      </w:r>
      <w:r w:rsidRPr="00192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формирования, управления и распоряжения жилищным фондом, находящимся в собственности города Нефтеюганска, утверждённым решением Думы города Нефтеюганска </w:t>
      </w:r>
      <w:r w:rsidR="00BE67A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08.06.2022 № 166-VI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администрация города Нефтеюганска постановляет</w:t>
      </w:r>
      <w:r w:rsidR="0003239A" w:rsidRPr="00B56818">
        <w:rPr>
          <w:bCs/>
          <w:sz w:val="28"/>
          <w:szCs w:val="28"/>
        </w:rPr>
        <w:t>:</w:t>
      </w:r>
    </w:p>
    <w:p w:rsidR="007B7AB2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BE67A7">
        <w:rPr>
          <w:sz w:val="28"/>
          <w:szCs w:val="28"/>
        </w:rPr>
        <w:t xml:space="preserve">                                   </w:t>
      </w:r>
      <w:r w:rsidR="007B7AB2" w:rsidRPr="007B7AB2">
        <w:rPr>
          <w:bCs/>
          <w:sz w:val="28"/>
        </w:rPr>
        <w:t xml:space="preserve">от </w:t>
      </w:r>
      <w:r w:rsidR="007B7AB2" w:rsidRPr="007B7AB2">
        <w:rPr>
          <w:sz w:val="28"/>
          <w:szCs w:val="28"/>
        </w:rPr>
        <w:t>31.07.2023 № 93-нп «О порядке осуществления расходов на содержание жилых помещений жилищного фонда муниципального образования город Нефтеюганск и оплату коммунальных услуг до их заселения»</w:t>
      </w:r>
      <w:r>
        <w:rPr>
          <w:sz w:val="27"/>
          <w:szCs w:val="27"/>
        </w:rPr>
        <w:t xml:space="preserve"> </w:t>
      </w:r>
      <w:proofErr w:type="gramStart"/>
      <w:r w:rsidRPr="00626FBA">
        <w:rPr>
          <w:sz w:val="28"/>
          <w:szCs w:val="28"/>
        </w:rPr>
        <w:t>изменени</w:t>
      </w:r>
      <w:r w:rsidR="00BE67A7">
        <w:rPr>
          <w:sz w:val="28"/>
          <w:szCs w:val="28"/>
        </w:rPr>
        <w:t xml:space="preserve">я,   </w:t>
      </w:r>
      <w:proofErr w:type="gramEnd"/>
      <w:r w:rsidR="00BE67A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 именно</w:t>
      </w:r>
      <w:r w:rsidR="006C6B28">
        <w:rPr>
          <w:sz w:val="28"/>
          <w:szCs w:val="28"/>
        </w:rPr>
        <w:t>:</w:t>
      </w:r>
      <w:r w:rsidR="007B7AB2">
        <w:rPr>
          <w:sz w:val="28"/>
          <w:szCs w:val="28"/>
        </w:rPr>
        <w:t xml:space="preserve"> </w:t>
      </w:r>
      <w:r w:rsidR="00BE67A7">
        <w:rPr>
          <w:sz w:val="28"/>
          <w:szCs w:val="28"/>
        </w:rPr>
        <w:t xml:space="preserve"> </w:t>
      </w:r>
      <w:r w:rsidR="007B7AB2">
        <w:rPr>
          <w:sz w:val="28"/>
          <w:szCs w:val="28"/>
        </w:rPr>
        <w:t>в приложении к постановлению:</w:t>
      </w:r>
    </w:p>
    <w:p w:rsidR="007B7AB2" w:rsidRDefault="007B7AB2" w:rsidP="00032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271">
        <w:rPr>
          <w:sz w:val="28"/>
          <w:szCs w:val="28"/>
        </w:rPr>
        <w:t>1.</w:t>
      </w:r>
      <w:proofErr w:type="gramStart"/>
      <w:r w:rsidR="000D3271">
        <w:rPr>
          <w:sz w:val="28"/>
          <w:szCs w:val="28"/>
        </w:rPr>
        <w:t>1.</w:t>
      </w:r>
      <w:r w:rsidR="00C7109E">
        <w:rPr>
          <w:sz w:val="28"/>
          <w:szCs w:val="28"/>
        </w:rPr>
        <w:t>Пункт</w:t>
      </w:r>
      <w:proofErr w:type="gramEnd"/>
      <w:r w:rsidR="00C7109E">
        <w:rPr>
          <w:sz w:val="28"/>
          <w:szCs w:val="28"/>
        </w:rPr>
        <w:t xml:space="preserve"> 4 изложить в следующей редакции: </w:t>
      </w:r>
    </w:p>
    <w:p w:rsidR="00C7109E" w:rsidRDefault="00C7109E" w:rsidP="00BE31F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4.</w:t>
      </w:r>
      <w:r w:rsidRPr="00ED4EB8">
        <w:rPr>
          <w:sz w:val="28"/>
          <w:szCs w:val="28"/>
        </w:rPr>
        <w:t>Расходы</w:t>
      </w:r>
      <w:proofErr w:type="gramEnd"/>
      <w:r w:rsidRPr="00ED4EB8">
        <w:rPr>
          <w:sz w:val="28"/>
          <w:szCs w:val="28"/>
        </w:rPr>
        <w:t xml:space="preserve"> на содержание свободных жилых помещений и оплату коммунальных услуг осуществляются </w:t>
      </w:r>
      <w:r>
        <w:rPr>
          <w:sz w:val="28"/>
          <w:szCs w:val="28"/>
        </w:rPr>
        <w:t>департаментом муниципального имущества администрации города Нефтеюганска</w:t>
      </w:r>
      <w:r w:rsidRPr="005263EE">
        <w:rPr>
          <w:sz w:val="28"/>
          <w:szCs w:val="28"/>
        </w:rPr>
        <w:t xml:space="preserve"> </w:t>
      </w:r>
      <w:r w:rsidRPr="00ED4EB8">
        <w:rPr>
          <w:sz w:val="28"/>
          <w:szCs w:val="28"/>
        </w:rPr>
        <w:t>за счет средств бюджета</w:t>
      </w:r>
      <w:r w:rsidRPr="005263EE">
        <w:rPr>
          <w:sz w:val="28"/>
          <w:szCs w:val="28"/>
        </w:rPr>
        <w:t xml:space="preserve"> </w:t>
      </w:r>
      <w:r w:rsidRPr="00ED4EB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Нефтеюганск.</w:t>
      </w:r>
    </w:p>
    <w:p w:rsidR="00C7109E" w:rsidRDefault="00BE31F3" w:rsidP="00C710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109E" w:rsidRPr="00720D19">
        <w:rPr>
          <w:sz w:val="28"/>
          <w:szCs w:val="28"/>
        </w:rPr>
        <w:t xml:space="preserve">Проверку на соответствие примененного тарифа и расчета цены муниципальных контрактов до их заключения осуществляет департамент жилищно-коммунального хозяйства администрации города Нефтеюганска. </w:t>
      </w:r>
    </w:p>
    <w:p w:rsidR="00B755F8" w:rsidRPr="00C7109E" w:rsidRDefault="00B755F8" w:rsidP="00B755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55F8">
        <w:rPr>
          <w:sz w:val="28"/>
          <w:szCs w:val="28"/>
        </w:rPr>
        <w:t>Проверку на соответствие примененного тарифа, расчета затрат на содержание свободных жилых помещений, расчета затрат на коммунальные услуги, потребляемые при содержании общего имуществ, предоставляем</w:t>
      </w:r>
      <w:r w:rsidR="006C6B28">
        <w:rPr>
          <w:sz w:val="28"/>
          <w:szCs w:val="28"/>
        </w:rPr>
        <w:t>ые</w:t>
      </w:r>
      <w:r w:rsidRPr="00B755F8">
        <w:rPr>
          <w:sz w:val="28"/>
          <w:szCs w:val="28"/>
        </w:rPr>
        <w:t xml:space="preserve"> ежемесячно при исполнении муниципальных контрактов, заключенных с лицами, осуществляющими в соответствии с </w:t>
      </w:r>
      <w:hyperlink r:id="rId9" w:history="1">
        <w:r w:rsidRPr="00B755F8">
          <w:rPr>
            <w:sz w:val="28"/>
            <w:szCs w:val="28"/>
          </w:rPr>
          <w:t>частью 2 статьи 161</w:t>
        </w:r>
      </w:hyperlink>
      <w:r w:rsidRPr="00B755F8">
        <w:rPr>
          <w:sz w:val="28"/>
          <w:szCs w:val="28"/>
        </w:rPr>
        <w:t xml:space="preserve"> Жилищного кодекса Российской Федерации управление многоквартирными домами, муниципальных контрактов, заключенных с </w:t>
      </w:r>
      <w:proofErr w:type="spellStart"/>
      <w:r w:rsidRPr="00B755F8">
        <w:rPr>
          <w:sz w:val="28"/>
          <w:szCs w:val="28"/>
        </w:rPr>
        <w:t>ресурсоснабжающими</w:t>
      </w:r>
      <w:proofErr w:type="spellEnd"/>
      <w:r w:rsidRPr="00B755F8">
        <w:rPr>
          <w:sz w:val="28"/>
          <w:szCs w:val="28"/>
        </w:rPr>
        <w:t xml:space="preserve"> организациями, оказывающими коммунальные услуги, а также проверку факта </w:t>
      </w:r>
      <w:r w:rsidRPr="00B755F8">
        <w:rPr>
          <w:sz w:val="28"/>
          <w:szCs w:val="28"/>
        </w:rPr>
        <w:lastRenderedPageBreak/>
        <w:t>отключения многоквартирных домов от инженерных сетей осуществляет департамент жилищно-коммунального хозяйства администрации города Нефтеюганска.</w:t>
      </w:r>
      <w:r w:rsidRPr="00C7109E">
        <w:rPr>
          <w:sz w:val="28"/>
          <w:szCs w:val="28"/>
        </w:rPr>
        <w:t xml:space="preserve"> </w:t>
      </w:r>
    </w:p>
    <w:p w:rsidR="00BE31F3" w:rsidRDefault="00BE31F3" w:rsidP="00B634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Департамент жилищно-коммунального хозяйства администрации города Нефтеюганска в течение 3-х рабочих дней с момента получения письма департамента муниципального имущества администрации города Нефтеюганска с приложенными расчетами, указанными в настоящем пункте,  осуществляет п</w:t>
      </w:r>
      <w:r w:rsidRPr="00C7109E">
        <w:rPr>
          <w:sz w:val="28"/>
          <w:szCs w:val="28"/>
        </w:rPr>
        <w:t>роверку на соответствие примененного тарифа, расчета</w:t>
      </w:r>
      <w:r>
        <w:rPr>
          <w:sz w:val="28"/>
          <w:szCs w:val="28"/>
        </w:rPr>
        <w:t xml:space="preserve">,  факта отключения многоквартирных домов от инженерных сетей и направляет в департамент муниципального имущества администрации города Нефтеюганска письмо о согласовании </w:t>
      </w:r>
      <w:r w:rsidR="00F13CB9">
        <w:rPr>
          <w:sz w:val="28"/>
          <w:szCs w:val="28"/>
        </w:rPr>
        <w:t>при</w:t>
      </w:r>
      <w:r w:rsidR="00B63439">
        <w:rPr>
          <w:sz w:val="28"/>
          <w:szCs w:val="28"/>
        </w:rPr>
        <w:t>ме</w:t>
      </w:r>
      <w:r w:rsidR="00F13CB9">
        <w:rPr>
          <w:sz w:val="28"/>
          <w:szCs w:val="28"/>
        </w:rPr>
        <w:t>не</w:t>
      </w:r>
      <w:r w:rsidR="00B63439">
        <w:rPr>
          <w:sz w:val="28"/>
          <w:szCs w:val="28"/>
        </w:rPr>
        <w:t xml:space="preserve">нного тарифа, </w:t>
      </w:r>
      <w:r>
        <w:rPr>
          <w:sz w:val="28"/>
          <w:szCs w:val="28"/>
        </w:rPr>
        <w:t xml:space="preserve">расчета либо отказе в согласовании с </w:t>
      </w:r>
      <w:r w:rsidR="00B63439">
        <w:rPr>
          <w:sz w:val="28"/>
          <w:szCs w:val="28"/>
        </w:rPr>
        <w:t>обоснованием причины отказа, а также информацией о фактах отключения многоквартирных домов от инженерных сетей, указанных в расчете</w:t>
      </w:r>
      <w:r w:rsidR="006C6B2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E31F3" w:rsidRDefault="00B63439" w:rsidP="00B634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31F3">
        <w:rPr>
          <w:sz w:val="28"/>
          <w:szCs w:val="28"/>
        </w:rPr>
        <w:t>1.</w:t>
      </w:r>
      <w:proofErr w:type="gramStart"/>
      <w:r w:rsidR="00BE31F3">
        <w:rPr>
          <w:sz w:val="28"/>
          <w:szCs w:val="28"/>
        </w:rPr>
        <w:t>2.Дополнить</w:t>
      </w:r>
      <w:proofErr w:type="gramEnd"/>
      <w:r w:rsidR="00BE31F3">
        <w:rPr>
          <w:sz w:val="28"/>
          <w:szCs w:val="28"/>
        </w:rPr>
        <w:t xml:space="preserve"> пунктом 8 следующего содержания:</w:t>
      </w:r>
    </w:p>
    <w:p w:rsidR="00B755F8" w:rsidRPr="00B63439" w:rsidRDefault="00BE31F3" w:rsidP="00B755F8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3439" w:rsidRPr="00B63439">
        <w:rPr>
          <w:sz w:val="28"/>
          <w:szCs w:val="28"/>
        </w:rPr>
        <w:t xml:space="preserve"> </w:t>
      </w:r>
      <w:r w:rsidR="00B755F8" w:rsidRPr="00B63439">
        <w:rPr>
          <w:sz w:val="28"/>
          <w:szCs w:val="28"/>
        </w:rPr>
        <w:t xml:space="preserve">«8.В случае предъявления лицами, осуществляющими в соответствии с </w:t>
      </w:r>
      <w:hyperlink r:id="rId10" w:history="1">
        <w:r w:rsidR="00B755F8" w:rsidRPr="00B63439">
          <w:rPr>
            <w:sz w:val="28"/>
            <w:szCs w:val="28"/>
          </w:rPr>
          <w:t>частью 2 статьи 161</w:t>
        </w:r>
      </w:hyperlink>
      <w:r w:rsidR="00B755F8" w:rsidRPr="00B63439">
        <w:rPr>
          <w:sz w:val="28"/>
          <w:szCs w:val="28"/>
        </w:rPr>
        <w:t xml:space="preserve"> Жилищного кодекса Российской Федерации управление многоквартирными домами, </w:t>
      </w:r>
      <w:proofErr w:type="spellStart"/>
      <w:r w:rsidR="00B755F8" w:rsidRPr="00B63439">
        <w:rPr>
          <w:sz w:val="28"/>
          <w:szCs w:val="28"/>
        </w:rPr>
        <w:t>ресурсоснабжающими</w:t>
      </w:r>
      <w:proofErr w:type="spellEnd"/>
      <w:r w:rsidR="00B755F8" w:rsidRPr="00B63439">
        <w:rPr>
          <w:sz w:val="28"/>
          <w:szCs w:val="28"/>
        </w:rPr>
        <w:t xml:space="preserve"> организациями, оказывающими коммунальные услуги, искового заявления </w:t>
      </w:r>
      <w:r w:rsidR="00F13CB9">
        <w:rPr>
          <w:sz w:val="28"/>
          <w:szCs w:val="28"/>
        </w:rPr>
        <w:t xml:space="preserve">(уточнения исковых требований) </w:t>
      </w:r>
      <w:r w:rsidR="00B755F8" w:rsidRPr="00B63439">
        <w:rPr>
          <w:sz w:val="28"/>
          <w:szCs w:val="28"/>
        </w:rPr>
        <w:t>о взыскании оплаты расходов на содержание свободных жилых помещений, оплаты коммунальных услуг проверку на соответствие примененного тарифа, расчета исковых требований (затрат на содержание свободных жилых помещений, затрат на коммунальные услуги</w:t>
      </w:r>
      <w:r w:rsidR="00B755F8">
        <w:rPr>
          <w:sz w:val="28"/>
          <w:szCs w:val="28"/>
        </w:rPr>
        <w:t xml:space="preserve"> </w:t>
      </w:r>
      <w:r w:rsidR="00B755F8" w:rsidRPr="003B02F4">
        <w:rPr>
          <w:sz w:val="28"/>
          <w:szCs w:val="28"/>
        </w:rPr>
        <w:t>потребляемые при содержании общего имущества), а также проверку факта отключения</w:t>
      </w:r>
      <w:r w:rsidR="00B755F8" w:rsidRPr="00B63439">
        <w:rPr>
          <w:sz w:val="28"/>
          <w:szCs w:val="28"/>
        </w:rPr>
        <w:t xml:space="preserve"> многоквартирных домов от инженерных сетей осуществляет департамент жилищно-коммунального хозяйства администрации города Нефтеюганска. </w:t>
      </w:r>
    </w:p>
    <w:p w:rsidR="00BE31F3" w:rsidRPr="00B63439" w:rsidRDefault="00B63439" w:rsidP="00B63439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3439">
        <w:rPr>
          <w:sz w:val="28"/>
          <w:szCs w:val="28"/>
        </w:rPr>
        <w:t xml:space="preserve">Департамент жилищно-коммунального хозяйства администрации города Нефтеюганска в течение 3-х рабочих дней с момента получения письма департамента муниципального имущества администрации города Нефтеюганска с приложенными копией искового заявления </w:t>
      </w:r>
      <w:r w:rsidR="00F13CB9">
        <w:rPr>
          <w:sz w:val="28"/>
          <w:szCs w:val="28"/>
        </w:rPr>
        <w:t xml:space="preserve">(уточненных исковых требований) </w:t>
      </w:r>
      <w:r w:rsidRPr="00B63439">
        <w:rPr>
          <w:sz w:val="28"/>
          <w:szCs w:val="28"/>
        </w:rPr>
        <w:t>и расчетами, указанными в настоящем пункте,  осуществляет проверку на соответствие примененного тарифа, расчета, факта отключения многоквартирных домов от инженерных сетей и направляет в департамент муниципального имущества администрации города Нефтею</w:t>
      </w:r>
      <w:r w:rsidR="00F13CB9">
        <w:rPr>
          <w:sz w:val="28"/>
          <w:szCs w:val="28"/>
        </w:rPr>
        <w:t>ганска письмо о согласовании пр</w:t>
      </w:r>
      <w:r w:rsidRPr="00B63439">
        <w:rPr>
          <w:sz w:val="28"/>
          <w:szCs w:val="28"/>
        </w:rPr>
        <w:t>име</w:t>
      </w:r>
      <w:r w:rsidR="00F13CB9">
        <w:rPr>
          <w:sz w:val="28"/>
          <w:szCs w:val="28"/>
        </w:rPr>
        <w:t>не</w:t>
      </w:r>
      <w:r w:rsidRPr="00B63439">
        <w:rPr>
          <w:sz w:val="28"/>
          <w:szCs w:val="28"/>
        </w:rPr>
        <w:t>нного тарифа, расчета либо отказе в согласовании с обоснованием причины отказа, а также информацией о фактах отключения многоквартирных домов от инженерных сетей, указанных в расчете</w:t>
      </w:r>
      <w:r w:rsidR="006B738D">
        <w:rPr>
          <w:sz w:val="28"/>
          <w:szCs w:val="28"/>
        </w:rPr>
        <w:t>.</w:t>
      </w:r>
      <w:r w:rsidRPr="00B63439">
        <w:rPr>
          <w:sz w:val="28"/>
          <w:szCs w:val="28"/>
        </w:rPr>
        <w:t>».</w:t>
      </w:r>
    </w:p>
    <w:p w:rsidR="00B63439" w:rsidRDefault="00D56CE6" w:rsidP="00B63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proofErr w:type="gramStart"/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r w:rsidR="00BF2D0E">
        <w:rPr>
          <w:color w:val="000000"/>
          <w:sz w:val="28"/>
          <w:szCs w:val="28"/>
        </w:rPr>
        <w:t xml:space="preserve">  </w:t>
      </w:r>
      <w:proofErr w:type="gramEnd"/>
      <w:r w:rsidR="00BF2D0E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B63439" w:rsidP="00B634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>
        <w:rPr>
          <w:color w:val="000000"/>
          <w:sz w:val="28"/>
          <w:szCs w:val="28"/>
        </w:rPr>
        <w:t>3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124DF9">
        <w:rPr>
          <w:color w:val="000000"/>
          <w:sz w:val="28"/>
          <w:szCs w:val="28"/>
        </w:rPr>
        <w:t>Филинова Н.В.</w:t>
      </w:r>
      <w:r w:rsidR="00C113DF"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B63439">
        <w:rPr>
          <w:color w:val="000000"/>
          <w:sz w:val="28"/>
          <w:szCs w:val="28"/>
        </w:rPr>
        <w:t>после его официального опубликования.</w:t>
      </w:r>
    </w:p>
    <w:p w:rsidR="00BE67A7" w:rsidRDefault="00BE67A7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E67A7" w:rsidRDefault="00BE67A7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1B2439" w:rsidRDefault="001B2439" w:rsidP="001B2104">
      <w:pPr>
        <w:jc w:val="both"/>
        <w:rPr>
          <w:sz w:val="28"/>
          <w:szCs w:val="28"/>
        </w:rPr>
        <w:sectPr w:rsidR="001B2439" w:rsidSect="00BE67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54" w:rsidRDefault="00B75C54">
      <w:r>
        <w:separator/>
      </w:r>
    </w:p>
  </w:endnote>
  <w:endnote w:type="continuationSeparator" w:id="0">
    <w:p w:rsidR="00B75C54" w:rsidRDefault="00B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BE67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54" w:rsidRDefault="00B75C54">
      <w:r>
        <w:separator/>
      </w:r>
    </w:p>
  </w:footnote>
  <w:footnote w:type="continuationSeparator" w:id="0">
    <w:p w:rsidR="00B75C54" w:rsidRDefault="00B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376931"/>
      <w:docPartObj>
        <w:docPartGallery w:val="Page Numbers (Top of Page)"/>
        <w:docPartUnique/>
      </w:docPartObj>
    </w:sdtPr>
    <w:sdtEndPr/>
    <w:sdtContent>
      <w:p w:rsidR="003B1A2A" w:rsidRDefault="003B1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A3">
          <w:rPr>
            <w:noProof/>
          </w:rPr>
          <w:t>2</w:t>
        </w:r>
        <w:r>
          <w:fldChar w:fldCharType="end"/>
        </w:r>
      </w:p>
    </w:sdtContent>
  </w:sdt>
  <w:p w:rsidR="0018155D" w:rsidRDefault="00181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1A4C"/>
    <w:rsid w:val="00074E3B"/>
    <w:rsid w:val="00080831"/>
    <w:rsid w:val="00081717"/>
    <w:rsid w:val="000851BD"/>
    <w:rsid w:val="000859ED"/>
    <w:rsid w:val="000863BB"/>
    <w:rsid w:val="000921AC"/>
    <w:rsid w:val="000A0E22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3271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2439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4A3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B738D"/>
    <w:rsid w:val="006C30FC"/>
    <w:rsid w:val="006C3409"/>
    <w:rsid w:val="006C5FE2"/>
    <w:rsid w:val="006C656F"/>
    <w:rsid w:val="006C6B28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B7AB2"/>
    <w:rsid w:val="007C1B90"/>
    <w:rsid w:val="007D3313"/>
    <w:rsid w:val="007D3AC6"/>
    <w:rsid w:val="007D3AC7"/>
    <w:rsid w:val="007D62BB"/>
    <w:rsid w:val="007E0A7C"/>
    <w:rsid w:val="007E34AC"/>
    <w:rsid w:val="007E46D7"/>
    <w:rsid w:val="007E5C4B"/>
    <w:rsid w:val="007F03A8"/>
    <w:rsid w:val="007F3DF4"/>
    <w:rsid w:val="007F4781"/>
    <w:rsid w:val="00800655"/>
    <w:rsid w:val="00805028"/>
    <w:rsid w:val="00805837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3439"/>
    <w:rsid w:val="00B64944"/>
    <w:rsid w:val="00B64A69"/>
    <w:rsid w:val="00B717ED"/>
    <w:rsid w:val="00B71D09"/>
    <w:rsid w:val="00B755F8"/>
    <w:rsid w:val="00B75C54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33B5"/>
    <w:rsid w:val="00BD4386"/>
    <w:rsid w:val="00BE22B2"/>
    <w:rsid w:val="00BE31F3"/>
    <w:rsid w:val="00BE67A7"/>
    <w:rsid w:val="00BF2B14"/>
    <w:rsid w:val="00BF2D0E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37E4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109E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0F9C"/>
    <w:rsid w:val="00E23BF1"/>
    <w:rsid w:val="00E264D1"/>
    <w:rsid w:val="00E26CDC"/>
    <w:rsid w:val="00E314BB"/>
    <w:rsid w:val="00E328A1"/>
    <w:rsid w:val="00E339EC"/>
    <w:rsid w:val="00E3579E"/>
    <w:rsid w:val="00E41070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CB9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C71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9796&amp;dst=100972&amp;field=134&amp;date=22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6&amp;dst=100972&amp;field=134&amp;date=22.02.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35B6-B04E-49EF-AD23-3B7B40AE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543</Words>
  <Characters>4920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27</cp:revision>
  <cp:lastPrinted>2024-03-05T03:49:00Z</cp:lastPrinted>
  <dcterms:created xsi:type="dcterms:W3CDTF">2023-06-15T06:08:00Z</dcterms:created>
  <dcterms:modified xsi:type="dcterms:W3CDTF">2024-03-14T07:56:00Z</dcterms:modified>
</cp:coreProperties>
</file>