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5B0A" w:rsidRPr="00DF5B0A" w:rsidRDefault="00DF5B0A" w:rsidP="00DF5B0A">
      <w:pPr>
        <w:tabs>
          <w:tab w:val="left" w:pos="4170"/>
        </w:tabs>
        <w:jc w:val="both"/>
        <w:rPr>
          <w:sz w:val="28"/>
          <w:szCs w:val="28"/>
        </w:rPr>
      </w:pPr>
      <w:r w:rsidRPr="00DF5B0A">
        <w:rPr>
          <w:sz w:val="28"/>
          <w:szCs w:val="28"/>
        </w:rPr>
        <w:t>24.07.2024</w:t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</w:r>
      <w:r w:rsidRPr="00DF5B0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DF5B0A">
        <w:rPr>
          <w:sz w:val="28"/>
          <w:szCs w:val="28"/>
        </w:rPr>
        <w:t>№</w:t>
      </w:r>
      <w:r>
        <w:rPr>
          <w:sz w:val="28"/>
          <w:szCs w:val="28"/>
        </w:rPr>
        <w:t xml:space="preserve"> 75</w:t>
      </w:r>
      <w:r w:rsidRPr="00DF5B0A">
        <w:rPr>
          <w:sz w:val="28"/>
          <w:szCs w:val="28"/>
        </w:rPr>
        <w:t>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D64D7" w:rsidRDefault="001D64D7" w:rsidP="001D64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1D64D7" w:rsidRPr="001D64D7" w:rsidRDefault="00326300" w:rsidP="001D64D7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 w:rsidRPr="0007105A">
        <w:rPr>
          <w:rFonts w:ascii="Times New Roman CYR" w:hAnsi="Times New Roman CYR"/>
          <w:szCs w:val="28"/>
        </w:rPr>
        <w:tab/>
      </w:r>
      <w:r w:rsidR="001D64D7" w:rsidRPr="001D64D7">
        <w:rPr>
          <w:rFonts w:ascii="Times New Roman CYR" w:hAnsi="Times New Roman CYR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Федеральным законом </w:t>
      </w:r>
      <w:r w:rsidR="001D64D7" w:rsidRPr="001D64D7">
        <w:t>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1D64D7" w:rsidRPr="001D64D7">
        <w:rPr>
          <w:szCs w:val="28"/>
        </w:rPr>
        <w:t xml:space="preserve">, </w:t>
      </w:r>
      <w:r w:rsidR="001D64D7" w:rsidRPr="001D64D7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1D64D7" w:rsidRPr="001D64D7">
        <w:rPr>
          <w:rFonts w:ascii="Times New Roman CYR" w:hAnsi="Times New Roman CYR"/>
          <w:szCs w:val="28"/>
          <w:lang w:val="en-US"/>
        </w:rPr>
        <w:t>VI</w:t>
      </w:r>
      <w:r w:rsidR="001D64D7" w:rsidRPr="001D64D7">
        <w:rPr>
          <w:rFonts w:ascii="Times New Roman CYR" w:hAnsi="Times New Roman CYR"/>
          <w:szCs w:val="28"/>
        </w:rPr>
        <w:t>,</w:t>
      </w:r>
      <w:r w:rsidR="001D64D7" w:rsidRPr="001D64D7">
        <w:rPr>
          <w:rFonts w:ascii="Times New Roman CYR" w:hAnsi="Times New Roman CYR"/>
        </w:rPr>
        <w:t xml:space="preserve"> </w:t>
      </w:r>
      <w:r w:rsidR="00297525">
        <w:rPr>
          <w:szCs w:val="28"/>
        </w:rPr>
        <w:t>в целях приведения в соответствие с законодательством Российской Федерации</w:t>
      </w:r>
      <w:r w:rsidR="00297525">
        <w:rPr>
          <w:rFonts w:ascii="Times New Roman CYR" w:hAnsi="Times New Roman CYR"/>
        </w:rPr>
        <w:t xml:space="preserve"> </w:t>
      </w:r>
      <w:r w:rsidR="001D64D7" w:rsidRPr="001D64D7">
        <w:rPr>
          <w:rFonts w:ascii="Times New Roman CYR" w:hAnsi="Times New Roman CYR"/>
        </w:rPr>
        <w:t>администрация города Нефтеюганска постановляет</w:t>
      </w:r>
      <w:r w:rsidR="001D64D7" w:rsidRPr="001D64D7">
        <w:rPr>
          <w:szCs w:val="28"/>
        </w:rPr>
        <w:t xml:space="preserve">: </w:t>
      </w:r>
    </w:p>
    <w:p w:rsidR="001D64D7" w:rsidRPr="001D64D7" w:rsidRDefault="001D64D7" w:rsidP="001D64D7">
      <w:pPr>
        <w:ind w:right="-1" w:firstLine="720"/>
        <w:jc w:val="both"/>
        <w:rPr>
          <w:sz w:val="28"/>
        </w:rPr>
      </w:pPr>
      <w:r w:rsidRPr="001D64D7">
        <w:rPr>
          <w:sz w:val="28"/>
        </w:rPr>
        <w:t xml:space="preserve">1.Внести в постановление администрации города Нефтеюганска </w:t>
      </w:r>
      <w:r w:rsidR="002D425F">
        <w:rPr>
          <w:sz w:val="28"/>
        </w:rPr>
        <w:t xml:space="preserve">                                </w:t>
      </w:r>
      <w:r w:rsidRPr="001D64D7">
        <w:rPr>
          <w:sz w:val="28"/>
        </w:rPr>
        <w:t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(с изменениями, внесенными постановлениями администрации города Нефтеюганска от 09.01.2018 №</w:t>
      </w:r>
      <w:r w:rsidR="00DF5B0A">
        <w:rPr>
          <w:sz w:val="28"/>
        </w:rPr>
        <w:t xml:space="preserve"> </w:t>
      </w:r>
      <w:r w:rsidRPr="001D64D7">
        <w:rPr>
          <w:sz w:val="28"/>
        </w:rPr>
        <w:t>6-</w:t>
      </w:r>
      <w:proofErr w:type="gramStart"/>
      <w:r w:rsidRPr="001D64D7">
        <w:rPr>
          <w:sz w:val="28"/>
        </w:rPr>
        <w:t xml:space="preserve">нп, </w:t>
      </w:r>
      <w:r w:rsidR="002D425F">
        <w:rPr>
          <w:sz w:val="28"/>
        </w:rPr>
        <w:t xml:space="preserve">  </w:t>
      </w:r>
      <w:proofErr w:type="gramEnd"/>
      <w:r w:rsidR="002D425F">
        <w:rPr>
          <w:sz w:val="28"/>
        </w:rPr>
        <w:t xml:space="preserve">            </w:t>
      </w:r>
      <w:r w:rsidRPr="001D64D7">
        <w:rPr>
          <w:sz w:val="28"/>
        </w:rPr>
        <w:t xml:space="preserve">от 28.05.2018 № 74-нп, от 21.05.2021 № 58-нп, </w:t>
      </w:r>
      <w:r w:rsidRPr="001D64D7">
        <w:rPr>
          <w:sz w:val="28"/>
          <w:szCs w:val="28"/>
        </w:rPr>
        <w:t>от 07.12.2021 № 178-нп</w:t>
      </w:r>
      <w:r w:rsidRPr="001D64D7">
        <w:rPr>
          <w:sz w:val="28"/>
        </w:rPr>
        <w:t>) изменени</w:t>
      </w:r>
      <w:r>
        <w:rPr>
          <w:sz w:val="28"/>
        </w:rPr>
        <w:t>е</w:t>
      </w:r>
      <w:r w:rsidRPr="001D64D7">
        <w:rPr>
          <w:sz w:val="28"/>
        </w:rPr>
        <w:t>, а именно</w:t>
      </w:r>
      <w:r w:rsidR="002D425F">
        <w:rPr>
          <w:sz w:val="28"/>
        </w:rPr>
        <w:t>:</w:t>
      </w:r>
      <w:r w:rsidRPr="001D64D7">
        <w:rPr>
          <w:sz w:val="28"/>
        </w:rPr>
        <w:t xml:space="preserve"> в приложении к постановлению: </w:t>
      </w:r>
    </w:p>
    <w:p w:rsidR="001D64D7" w:rsidRDefault="001D64D7" w:rsidP="001D64D7">
      <w:pPr>
        <w:ind w:right="-1" w:firstLine="720"/>
        <w:jc w:val="both"/>
        <w:rPr>
          <w:sz w:val="28"/>
        </w:rPr>
      </w:pPr>
      <w:r>
        <w:rPr>
          <w:sz w:val="28"/>
        </w:rPr>
        <w:t xml:space="preserve">1.1.Подпункт 3.3.6 изложить в следующей редакции: </w:t>
      </w:r>
    </w:p>
    <w:p w:rsidR="001D64D7" w:rsidRPr="001D64D7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 xml:space="preserve">   </w:t>
      </w:r>
      <w:r w:rsidRPr="001D64D7">
        <w:rPr>
          <w:sz w:val="28"/>
          <w:szCs w:val="28"/>
        </w:rPr>
        <w:t>«3.3.</w:t>
      </w:r>
      <w:proofErr w:type="gramStart"/>
      <w:r w:rsidRPr="001D64D7">
        <w:rPr>
          <w:sz w:val="28"/>
          <w:szCs w:val="28"/>
        </w:rPr>
        <w:t>6.Порядок</w:t>
      </w:r>
      <w:proofErr w:type="gramEnd"/>
      <w:r w:rsidRPr="001D64D7">
        <w:rPr>
          <w:sz w:val="28"/>
          <w:szCs w:val="28"/>
        </w:rPr>
        <w:t xml:space="preserve"> определения победителей (при проведении аукциона, специализир</w:t>
      </w:r>
      <w:r w:rsidR="002D425F">
        <w:rPr>
          <w:sz w:val="28"/>
          <w:szCs w:val="28"/>
        </w:rPr>
        <w:t>ованного аукциона, конкурса),</w:t>
      </w:r>
      <w:r w:rsidRPr="001D64D7">
        <w:rPr>
          <w:sz w:val="28"/>
          <w:szCs w:val="28"/>
        </w:rPr>
        <w:t xml:space="preserve"> либо покупателей (при проведении продажи муниципального 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предложения).».</w:t>
      </w:r>
    </w:p>
    <w:p w:rsidR="00C113DF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proofErr w:type="gramStart"/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r w:rsidR="004B064A">
        <w:rPr>
          <w:color w:val="000000"/>
          <w:sz w:val="28"/>
          <w:szCs w:val="28"/>
        </w:rPr>
        <w:t xml:space="preserve">  </w:t>
      </w:r>
      <w:proofErr w:type="gramEnd"/>
      <w:r w:rsidR="004B064A">
        <w:rPr>
          <w:color w:val="000000"/>
          <w:sz w:val="28"/>
          <w:szCs w:val="28"/>
        </w:rPr>
        <w:t xml:space="preserve">                         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proofErr w:type="spellStart"/>
      <w:r w:rsidR="006B202E">
        <w:rPr>
          <w:color w:val="000000"/>
          <w:sz w:val="28"/>
          <w:szCs w:val="28"/>
        </w:rPr>
        <w:t>Филинова</w:t>
      </w:r>
      <w:proofErr w:type="spellEnd"/>
      <w:r w:rsidR="006B202E">
        <w:rPr>
          <w:color w:val="000000"/>
          <w:sz w:val="28"/>
          <w:szCs w:val="28"/>
        </w:rPr>
        <w:t xml:space="preserve"> Н.В</w:t>
      </w:r>
      <w:r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1D64D7" w:rsidRPr="004A4A66" w:rsidRDefault="00C113DF" w:rsidP="004A4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lastRenderedPageBreak/>
        <w:t>4.</w:t>
      </w:r>
      <w:r w:rsidR="001D64D7" w:rsidRPr="004A4A66">
        <w:rPr>
          <w:sz w:val="28"/>
          <w:szCs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01.0</w:t>
      </w:r>
      <w:r w:rsidR="004A4A66">
        <w:rPr>
          <w:sz w:val="28"/>
          <w:szCs w:val="28"/>
        </w:rPr>
        <w:t>7</w:t>
      </w:r>
      <w:r w:rsidR="001D64D7" w:rsidRPr="004A4A66">
        <w:rPr>
          <w:sz w:val="28"/>
          <w:szCs w:val="28"/>
        </w:rPr>
        <w:t>.2024.</w:t>
      </w:r>
    </w:p>
    <w:p w:rsidR="001D64D7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4A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4A4A66" w:rsidRPr="00022DFC" w:rsidRDefault="004A4A66" w:rsidP="004A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2D42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Н.С.Халезова</w:t>
      </w:r>
      <w:proofErr w:type="spellEnd"/>
      <w:r>
        <w:rPr>
          <w:sz w:val="28"/>
          <w:szCs w:val="28"/>
        </w:rPr>
        <w:t xml:space="preserve">  </w:t>
      </w:r>
    </w:p>
    <w:p w:rsidR="004A4A66" w:rsidRDefault="004A4A66" w:rsidP="004A4A66">
      <w:pPr>
        <w:ind w:firstLine="708"/>
        <w:jc w:val="both"/>
        <w:rPr>
          <w:sz w:val="28"/>
          <w:szCs w:val="28"/>
        </w:rPr>
      </w:pPr>
    </w:p>
    <w:p w:rsidR="00A4015A" w:rsidRDefault="00A4015A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Pr="00FC600F" w:rsidRDefault="004A4A66" w:rsidP="009512EF">
      <w:pPr>
        <w:ind w:firstLine="708"/>
        <w:jc w:val="both"/>
        <w:rPr>
          <w:sz w:val="28"/>
          <w:szCs w:val="28"/>
        </w:rPr>
      </w:pPr>
    </w:p>
    <w:p w:rsidR="007A113F" w:rsidRDefault="009512EF" w:rsidP="009512EF">
      <w:pPr>
        <w:jc w:val="both"/>
        <w:rPr>
          <w:sz w:val="28"/>
          <w:szCs w:val="28"/>
        </w:rPr>
        <w:sectPr w:rsidR="007A113F" w:rsidSect="003001B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</w:t>
      </w:r>
      <w:bookmarkStart w:id="0" w:name="_GoBack"/>
      <w:bookmarkEnd w:id="0"/>
    </w:p>
    <w:p w:rsidR="0019263E" w:rsidRDefault="0019263E" w:rsidP="008A3A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7B" w:rsidRDefault="002C527B">
      <w:r>
        <w:separator/>
      </w:r>
    </w:p>
  </w:endnote>
  <w:endnote w:type="continuationSeparator" w:id="0">
    <w:p w:rsidR="002C527B" w:rsidRDefault="002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7B" w:rsidRDefault="002C527B">
      <w:r>
        <w:separator/>
      </w:r>
    </w:p>
  </w:footnote>
  <w:footnote w:type="continuationSeparator" w:id="0">
    <w:p w:rsidR="002C527B" w:rsidRDefault="002C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8A3A1C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5AE"/>
    <w:rsid w:val="001B6D5E"/>
    <w:rsid w:val="001C1DE0"/>
    <w:rsid w:val="001C7F7D"/>
    <w:rsid w:val="001D015B"/>
    <w:rsid w:val="001D10B9"/>
    <w:rsid w:val="001D43DF"/>
    <w:rsid w:val="001D44B3"/>
    <w:rsid w:val="001D58BC"/>
    <w:rsid w:val="001D64D7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96C"/>
    <w:rsid w:val="00297439"/>
    <w:rsid w:val="00297525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527B"/>
    <w:rsid w:val="002C6DC2"/>
    <w:rsid w:val="002C70A5"/>
    <w:rsid w:val="002C78B1"/>
    <w:rsid w:val="002D425F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4A66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1760C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92AA0"/>
    <w:rsid w:val="008958FE"/>
    <w:rsid w:val="00896C1E"/>
    <w:rsid w:val="008A26D0"/>
    <w:rsid w:val="008A3A1C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5B0A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944AF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sid w:val="001D64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0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47D8-74BB-40B0-8C2A-F908D128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139</cp:revision>
  <cp:lastPrinted>2024-07-15T03:56:00Z</cp:lastPrinted>
  <dcterms:created xsi:type="dcterms:W3CDTF">2023-04-29T07:40:00Z</dcterms:created>
  <dcterms:modified xsi:type="dcterms:W3CDTF">2024-07-26T03:55:00Z</dcterms:modified>
</cp:coreProperties>
</file>