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58" w:rsidRDefault="00130666">
      <w:pPr>
        <w:jc w:val="center"/>
      </w:pPr>
      <w:r>
        <w:rPr>
          <w:b/>
          <w:sz w:val="28"/>
          <w:szCs w:val="40"/>
          <w:lang w:eastAsia="zh-CN"/>
        </w:rPr>
        <w:t>ПРАВИТЕЛЬСТВО</w:t>
      </w:r>
    </w:p>
    <w:p w:rsidR="00557F58" w:rsidRDefault="00130666">
      <w:pPr>
        <w:spacing w:after="240"/>
        <w:jc w:val="center"/>
      </w:pPr>
      <w:r>
        <w:rPr>
          <w:b/>
          <w:sz w:val="28"/>
          <w:szCs w:val="40"/>
          <w:lang w:eastAsia="zh-CN"/>
        </w:rPr>
        <w:t>ХАНТЫ-МАНСИЙСКОГО АВТОНОМНОГО ОКРУГА - ЮГРЫ</w:t>
      </w:r>
    </w:p>
    <w:p w:rsidR="00557F58" w:rsidRDefault="00130666">
      <w:pPr>
        <w:jc w:val="center"/>
      </w:pPr>
      <w:r>
        <w:rPr>
          <w:b/>
          <w:sz w:val="28"/>
          <w:szCs w:val="40"/>
          <w:lang w:eastAsia="zh-CN"/>
        </w:rPr>
        <w:t>РАСПОРЯЖЕНИЕ</w:t>
      </w:r>
    </w:p>
    <w:p w:rsidR="00557F58" w:rsidRDefault="00557F58">
      <w:pPr>
        <w:jc w:val="both"/>
        <w:rPr>
          <w:sz w:val="28"/>
          <w:szCs w:val="28"/>
        </w:rPr>
      </w:pPr>
    </w:p>
    <w:p w:rsidR="00557F58" w:rsidRDefault="00557F58">
      <w:pPr>
        <w:jc w:val="both"/>
        <w:rPr>
          <w:sz w:val="36"/>
          <w:szCs w:val="36"/>
        </w:rPr>
      </w:pPr>
    </w:p>
    <w:tbl>
      <w:tblPr>
        <w:tblW w:w="0" w:type="auto"/>
        <w:tblInd w:w="2235" w:type="dxa"/>
        <w:tblLook w:val="01E0" w:firstRow="1" w:lastRow="1" w:firstColumn="1" w:lastColumn="1" w:noHBand="0" w:noVBand="0"/>
      </w:tblPr>
      <w:tblGrid>
        <w:gridCol w:w="3273"/>
        <w:gridCol w:w="2255"/>
      </w:tblGrid>
      <w:tr w:rsidR="00557F58">
        <w:tc>
          <w:tcPr>
            <w:tcW w:w="32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7F58" w:rsidRDefault="00130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июля 2024 года</w:t>
            </w:r>
          </w:p>
        </w:tc>
        <w:tc>
          <w:tcPr>
            <w:tcW w:w="22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7F58" w:rsidRDefault="00130666">
            <w:pPr>
              <w:ind w:left="-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381-рп</w:t>
            </w:r>
          </w:p>
        </w:tc>
      </w:tr>
    </w:tbl>
    <w:p w:rsidR="00557F58" w:rsidRDefault="00557F58">
      <w:pPr>
        <w:jc w:val="both"/>
        <w:rPr>
          <w:sz w:val="28"/>
          <w:szCs w:val="28"/>
          <w:lang w:val="en-US"/>
        </w:rPr>
      </w:pPr>
    </w:p>
    <w:p w:rsidR="00557F58" w:rsidRDefault="00557F58">
      <w:pPr>
        <w:jc w:val="both"/>
        <w:rPr>
          <w:sz w:val="28"/>
          <w:szCs w:val="28"/>
        </w:rPr>
      </w:pPr>
    </w:p>
    <w:p w:rsidR="00557F58" w:rsidRDefault="00557F58">
      <w:pPr>
        <w:jc w:val="both"/>
        <w:rPr>
          <w:sz w:val="28"/>
          <w:szCs w:val="28"/>
        </w:rPr>
      </w:pPr>
    </w:p>
    <w:p w:rsidR="00557F58" w:rsidRDefault="00130666">
      <w:pPr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О сводном докладе Ханты-Мансийского автономного округа –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автономного округа – Югры за 2023 год и распределении грантов городским округам и муниципальным районам Ханты-Мансийского автономного округа – Югры, достигшим наилучших значений показател</w:t>
      </w:r>
      <w:bookmarkStart w:id="0" w:name="_GoBack"/>
      <w:bookmarkEnd w:id="0"/>
      <w:r>
        <w:rPr>
          <w:b/>
          <w:bCs/>
          <w:color w:val="0D0D0D" w:themeColor="text1" w:themeTint="F2"/>
          <w:sz w:val="28"/>
          <w:szCs w:val="28"/>
        </w:rPr>
        <w:t xml:space="preserve">ей </w:t>
      </w:r>
    </w:p>
    <w:p w:rsidR="00557F58" w:rsidRDefault="00130666">
      <w:pPr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эффективности деятельности</w:t>
      </w:r>
    </w:p>
    <w:p w:rsidR="00557F58" w:rsidRDefault="00557F58">
      <w:pPr>
        <w:jc w:val="both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both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соответствии с Указом Президента Российской Федерации от 28 апреля 2008 года № 607 «Об оценке эффективности деятельности органов местного самоуправления муниципальных, городских округов и муниципальных районов», постановлением Правительства Российской Федерации от 17 декабря 2012 года № 1317 «О мерах по реализации Указа Президента Российской Федерации от 28 апреля 2008 г. № 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управления», распоряжением Правительства </w:t>
      </w:r>
      <w:r>
        <w:rPr>
          <w:color w:val="0D0D0D" w:themeColor="text1" w:themeTint="F2"/>
          <w:sz w:val="28"/>
          <w:szCs w:val="28"/>
          <w:lang w:eastAsia="en-US"/>
        </w:rPr>
        <w:br/>
        <w:t xml:space="preserve">Ханты-Мансийского автономного округа – Югры от 15 марта 2013 года № 92-рп «Об оценке эффективности деятельности органов местного самоуправления городских округов и муниципальных районов </w:t>
      </w:r>
      <w:r>
        <w:rPr>
          <w:color w:val="0D0D0D" w:themeColor="text1" w:themeTint="F2"/>
          <w:sz w:val="28"/>
          <w:szCs w:val="28"/>
          <w:lang w:eastAsia="en-US"/>
        </w:rPr>
        <w:br/>
        <w:t xml:space="preserve">Ханты-Мансийского автономного округа – Югры», учитывая решение Общественного совета при Департаменте экономического развития </w:t>
      </w:r>
      <w:r>
        <w:rPr>
          <w:color w:val="0D0D0D" w:themeColor="text1" w:themeTint="F2"/>
          <w:sz w:val="28"/>
          <w:szCs w:val="28"/>
          <w:lang w:eastAsia="en-US"/>
        </w:rPr>
        <w:br/>
        <w:t xml:space="preserve">Ханты-Мансийского автономного округа – Югры (протокол заседания </w:t>
      </w:r>
      <w:r>
        <w:rPr>
          <w:color w:val="0D0D0D" w:themeColor="text1" w:themeTint="F2"/>
          <w:sz w:val="28"/>
          <w:szCs w:val="28"/>
          <w:lang w:eastAsia="en-US"/>
        </w:rPr>
        <w:br/>
        <w:t>от 19 июля 2024 года № 26):</w:t>
      </w:r>
    </w:p>
    <w:p w:rsidR="00557F58" w:rsidRDefault="00557F58">
      <w:pPr>
        <w:ind w:firstLine="709"/>
        <w:jc w:val="both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1. Одобрить прилагаемый сводный доклад Ханты-Мансийского автономного округа –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автономного </w:t>
      </w:r>
      <w:r>
        <w:rPr>
          <w:color w:val="0D0D0D" w:themeColor="text1" w:themeTint="F2"/>
          <w:sz w:val="28"/>
          <w:szCs w:val="28"/>
          <w:lang w:eastAsia="en-US"/>
        </w:rPr>
        <w:br/>
        <w:t>округа – Югры за 2023 год (далее – сводный доклад).</w:t>
      </w:r>
    </w:p>
    <w:p w:rsidR="00557F58" w:rsidRDefault="00130666">
      <w:pPr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2. Распределить гранты в виде дотаций следующим городским округам и муниципальным районам Ханты-Мансийского автономного округа – Югры, достигшим наилучших значений показателей эффективности деятельности органов местного самоуправления:</w:t>
      </w:r>
    </w:p>
    <w:p w:rsidR="00557F58" w:rsidRDefault="00130666">
      <w:pPr>
        <w:ind w:firstLine="709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2.1. 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>Сургутский муниципальный район Ханты-Мансийского автономного округа – Югры</w:t>
      </w:r>
      <w:r>
        <w:rPr>
          <w:color w:val="0D0D0D" w:themeColor="text1" w:themeTint="F2"/>
          <w:sz w:val="28"/>
          <w:szCs w:val="28"/>
          <w:lang w:eastAsia="en-US"/>
        </w:rPr>
        <w:t xml:space="preserve"> – 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>22 483,4 тыс. рублей.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</w:rPr>
        <w:t xml:space="preserve">2.2. 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>Городской округ Ханты-Мансийск Ханты-Мансийского автономного округа – Югры – 22 061,1 тыс. рублей.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2.3.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Белоярский муниципальный район Ханты-Мансийского автономного округа – Югры – 18 108,5 тыс. рублей.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2.4.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Ханты-Мансийский муниципальный район Ханты-Мансийского автономного округа – Югры – 14 896,6 тыс. рублей.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2.5.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Городской округ Когалым Ханты-Мансийского автономного округа – Югры – 11 815,2 тыс. рублей.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2.6.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Городской округ Покачи Ханты-Мансийского автономного округа – Югры – 10 635,2 тыс. рублей.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3. Департаменту экономического развития Ханты-Мансийского автономного округа – Югры в срок до 1 августа 2024 года разместить сводный доклад на едином официальном сайте государственных органов Ханты-Мансийского автономного округа – Югры.</w:t>
      </w:r>
    </w:p>
    <w:p w:rsidR="00557F58" w:rsidRDefault="00557F58">
      <w:pPr>
        <w:rPr>
          <w:color w:val="0D0D0D" w:themeColor="text1" w:themeTint="F2"/>
          <w:sz w:val="28"/>
          <w:szCs w:val="28"/>
        </w:rPr>
      </w:pPr>
    </w:p>
    <w:p w:rsidR="00557F58" w:rsidRDefault="00557F58">
      <w:pPr>
        <w:rPr>
          <w:color w:val="0D0D0D" w:themeColor="text1" w:themeTint="F2"/>
          <w:sz w:val="28"/>
          <w:szCs w:val="28"/>
        </w:rPr>
      </w:pPr>
    </w:p>
    <w:p w:rsidR="00557F58" w:rsidRDefault="00557F58">
      <w:pPr>
        <w:rPr>
          <w:color w:val="0D0D0D" w:themeColor="text1" w:themeTint="F2"/>
          <w:sz w:val="28"/>
          <w:szCs w:val="28"/>
        </w:rPr>
      </w:pPr>
    </w:p>
    <w:p w:rsidR="00557F58" w:rsidRDefault="0013066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Временно исполняющий обязанности </w:t>
      </w:r>
      <w:r>
        <w:rPr>
          <w:color w:val="0D0D0D" w:themeColor="text1" w:themeTint="F2"/>
          <w:sz w:val="28"/>
          <w:szCs w:val="28"/>
          <w:lang w:eastAsia="en-US"/>
        </w:rPr>
        <w:br/>
        <w:t>Губернатора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  <w:lang w:eastAsia="en-US"/>
        </w:rPr>
        <w:t>Ханты-Мансийского</w:t>
      </w:r>
    </w:p>
    <w:p w:rsidR="00557F58" w:rsidRDefault="00130666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автономного округа – Югры</w:t>
      </w:r>
      <w:r>
        <w:rPr>
          <w:color w:val="0D0D0D" w:themeColor="text1" w:themeTint="F2"/>
          <w:sz w:val="28"/>
          <w:szCs w:val="28"/>
          <w:lang w:eastAsia="en-US"/>
        </w:rPr>
        <w:tab/>
      </w:r>
      <w:r>
        <w:rPr>
          <w:color w:val="0D0D0D" w:themeColor="text1" w:themeTint="F2"/>
          <w:sz w:val="28"/>
          <w:szCs w:val="28"/>
          <w:lang w:eastAsia="en-US"/>
        </w:rPr>
        <w:tab/>
      </w:r>
      <w:r>
        <w:rPr>
          <w:color w:val="0D0D0D" w:themeColor="text1" w:themeTint="F2"/>
          <w:sz w:val="28"/>
          <w:szCs w:val="28"/>
          <w:lang w:eastAsia="en-US"/>
        </w:rPr>
        <w:tab/>
      </w:r>
      <w:r>
        <w:rPr>
          <w:color w:val="0D0D0D" w:themeColor="text1" w:themeTint="F2"/>
          <w:sz w:val="28"/>
          <w:szCs w:val="28"/>
          <w:lang w:eastAsia="en-US"/>
        </w:rPr>
        <w:tab/>
      </w:r>
      <w:r>
        <w:rPr>
          <w:color w:val="0D0D0D" w:themeColor="text1" w:themeTint="F2"/>
          <w:sz w:val="28"/>
          <w:szCs w:val="28"/>
          <w:lang w:eastAsia="en-US"/>
        </w:rPr>
        <w:tab/>
      </w:r>
      <w:r>
        <w:rPr>
          <w:color w:val="0D0D0D" w:themeColor="text1" w:themeTint="F2"/>
          <w:sz w:val="28"/>
          <w:szCs w:val="28"/>
          <w:lang w:eastAsia="en-US"/>
        </w:rPr>
        <w:tab/>
        <w:t xml:space="preserve">      Р.Н.Кухарук</w:t>
      </w:r>
    </w:p>
    <w:p w:rsidR="00557F58" w:rsidRDefault="00130666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br w:type="page" w:clear="all"/>
      </w:r>
      <w:r>
        <w:rPr>
          <w:color w:val="0D0D0D" w:themeColor="text1" w:themeTint="F2"/>
          <w:sz w:val="28"/>
          <w:szCs w:val="28"/>
          <w:lang w:eastAsia="en-US"/>
        </w:rPr>
        <w:lastRenderedPageBreak/>
        <w:t xml:space="preserve">Приложение </w:t>
      </w:r>
    </w:p>
    <w:p w:rsidR="00557F58" w:rsidRDefault="00130666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к распоряжению Правительства </w:t>
      </w:r>
    </w:p>
    <w:p w:rsidR="00557F58" w:rsidRDefault="00130666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Ханты-Мансийского </w:t>
      </w:r>
    </w:p>
    <w:p w:rsidR="00557F58" w:rsidRDefault="00130666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автономного округа – Югры </w:t>
      </w:r>
    </w:p>
    <w:p w:rsidR="00557F58" w:rsidRDefault="00130666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от 25 июля 2024 года № 381-рп </w:t>
      </w:r>
    </w:p>
    <w:p w:rsidR="00557F58" w:rsidRDefault="00557F58">
      <w:pPr>
        <w:outlineLv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Сводный доклад Ханты-Мансийского автономного округа – Югры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о результатах мониторинга эффективности деятельности органов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местного самоуправления городских округов и муниципальных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 районов Ханты-Мансийского автономного округа – Югры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за 2023 год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val="en-US" w:eastAsia="en-US"/>
        </w:rPr>
        <w:t>I</w:t>
      </w:r>
      <w:r>
        <w:rPr>
          <w:bCs/>
          <w:color w:val="0D0D0D" w:themeColor="text1" w:themeTint="F2"/>
          <w:sz w:val="28"/>
          <w:szCs w:val="28"/>
          <w:lang w:eastAsia="en-US"/>
        </w:rPr>
        <w:t>. Введение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Мониторинг эффективности деятельности органов местного самоуправления городских округов и муниципальных районов Ханты-Мансийского автономного округа – Югры (далее также – автономный округ, муниципальные образования) проведен на основании значений 13 показателей, утвержденных Указом Президента Российской Федерации от 28 апреля 2008 года № 607 «Об оценке эффективности деятельности органов местного самоуправления муниципальных, городских округов и муниципальных районов», и значений 28 дополнительных показателей, утвержденных постановлением Правительства Российской Федерации </w:t>
      </w:r>
      <w:r>
        <w:rPr>
          <w:color w:val="0D0D0D" w:themeColor="text1" w:themeTint="F2"/>
          <w:sz w:val="28"/>
          <w:szCs w:val="28"/>
          <w:lang w:eastAsia="en-US"/>
        </w:rPr>
        <w:br/>
        <w:t>от 17 декабря 2012 года № 1317 «О мерах по реализации Указа Президента Российской Федерации от 28 апреля 2008 года 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управления», в соответствии с методикой, утвержденной указанным постановлением.</w:t>
      </w:r>
    </w:p>
    <w:p w:rsidR="00557F58" w:rsidRDefault="00557F58">
      <w:pPr>
        <w:ind w:firstLine="709"/>
        <w:jc w:val="both"/>
        <w:rPr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val="en-US" w:eastAsia="en-US"/>
        </w:rPr>
        <w:t>II</w:t>
      </w:r>
      <w:r>
        <w:rPr>
          <w:bCs/>
          <w:color w:val="0D0D0D" w:themeColor="text1" w:themeTint="F2"/>
          <w:sz w:val="28"/>
          <w:szCs w:val="28"/>
          <w:lang w:eastAsia="en-US"/>
        </w:rPr>
        <w:t>. Достигнутые значения показателей для оценки эффективности деятельности органов местного самоуправления городских округов и муниципальных районов автономного округа за 2021-2023 годы и их планируемые значения на 3-летний период</w:t>
      </w:r>
    </w:p>
    <w:p w:rsidR="00557F58" w:rsidRDefault="00557F58">
      <w:pPr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  <w:sectPr w:rsidR="00557F58">
          <w:headerReference w:type="default" r:id="rId6"/>
          <w:headerReference w:type="first" r:id="rId7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1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Когалым автономного округа (далее – Когалым) за 2021-2023 годы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012"/>
        <w:gridCol w:w="1535"/>
        <w:gridCol w:w="1117"/>
        <w:gridCol w:w="1117"/>
        <w:gridCol w:w="1115"/>
        <w:gridCol w:w="10"/>
        <w:gridCol w:w="1140"/>
        <w:gridCol w:w="1140"/>
        <w:gridCol w:w="1140"/>
      </w:tblGrid>
      <w:tr w:rsidR="00557F58">
        <w:tc>
          <w:tcPr>
            <w:tcW w:w="675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</w:tc>
        <w:tc>
          <w:tcPr>
            <w:tcW w:w="5103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</w:tc>
        <w:tc>
          <w:tcPr>
            <w:tcW w:w="1560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42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71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675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5103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560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42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510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42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245,6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277,7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286,6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283,1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286,5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286,8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11,4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12,6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130735,0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264151,0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521952,0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278120,6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297433,8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299168,9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560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86830,4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99996,3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116419,4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118922,0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121657,2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124698,6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56231,3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59255,2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68015,8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70854,4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70854,4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70854,4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76746,9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79421,7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90973,2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94669,4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94669,4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94669,4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86437,5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94803,9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99351,2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103375,0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103375,0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103375,0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74515,6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84145,6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90812,5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96200,4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96200,4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96200,4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54890,1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60794,9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66420,0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68930,6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70049,2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70049,2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68,6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66,9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60,6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64,3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99,1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99,1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99,1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83,9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73,6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81,2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30,9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28,9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28,9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19,6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166,7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175,5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193,2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203,7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210,2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81,8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89,4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87,9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560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106,5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60,9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62,1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48,4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57,5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57,3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90,2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95,6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91,9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15,8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17,6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17,5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3,1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3,2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560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- в течение 3 лет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- в течение 5 лет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29.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33,5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44,5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21,9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21,3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17,3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53,8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54,3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46,6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53,9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5043,0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4053,1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4686,9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5756,3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6197,1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6267,0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6172,2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Наличие в муниципальном, городском округе (муниципальном районе) утвержденного генерального плана муниципального, городского округа (схемы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территориального планирования муниципального района)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да/нет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37.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55,2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70,8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84,1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69,126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62,182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63,229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64,256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65,197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66,151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560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657,7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748,0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757,3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745,2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734,4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723,8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 на 1 проживающего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15,7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15,7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 на 1 проживающего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21,5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23,5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22,3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 на 1 проживающего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560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108,7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120,6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119,1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115,5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113,8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 на 1 человека населения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 на 1 человека населения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1,8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 на 1 человека населения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560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98,3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89,3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92,7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5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2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7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rPr>
          <w:bCs/>
          <w:color w:val="0D0D0D" w:themeColor="text1" w:themeTint="F2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2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Лангепас автономного округа (далее – Лангепас) за 2021-2023 годы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557F58" w:rsidRDefault="00557F58">
      <w:pPr>
        <w:jc w:val="right"/>
        <w:rPr>
          <w:bCs/>
          <w:color w:val="0D0D0D" w:themeColor="text1" w:themeTint="F2"/>
          <w:sz w:val="24"/>
          <w:szCs w:val="24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5012"/>
        <w:gridCol w:w="1674"/>
        <w:gridCol w:w="979"/>
        <w:gridCol w:w="1084"/>
        <w:gridCol w:w="1158"/>
        <w:gridCol w:w="1140"/>
        <w:gridCol w:w="1140"/>
        <w:gridCol w:w="1140"/>
      </w:tblGrid>
      <w:tr w:rsidR="00557F58">
        <w:tc>
          <w:tcPr>
            <w:tcW w:w="675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5103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701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93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71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675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5103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701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510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221,8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224,6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233,4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233,5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233,6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233,8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среднесписочной численности работников (без внешних совместителей) малых и средних предприятий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43099,0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112074,0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114763,0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53701,1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54764,0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56333,3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23,1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24,8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11,3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10,8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73462,5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83211,9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96831,7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101770,1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106146,2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110498,2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50317,2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57512,9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66505,8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71310,4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74305,5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77277,7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66182,7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74944,9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82337,5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84169,4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87704,5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91212,7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77214,8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84559,7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95622,8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95622,8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99329,7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103302,9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69252,1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78150,2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84101,1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88118,4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91819,4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95492,1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51721,8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56018,5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65726,8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78467,3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81762,9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85033,4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66,5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68,9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85,2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80,1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80,5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22,7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17.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169,4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186,7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212,7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212,7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227,8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226,8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78,3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50,2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61,4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63,3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87,2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92,7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15,7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16,6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в том числе земельных участков, предоставленных для жилищного строительства, индивидуального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гектаров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26.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20235,0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6,1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11,2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35,9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48,3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5383,0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24671,0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4491,3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6058,2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7296,9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8499,9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7037,0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6481,7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6081,5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46,7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58,9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45,407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43,136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43,782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44,163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44,469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44,787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759,0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690,6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736,0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736,0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736,0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736,0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39.3.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14,1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23,2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22,5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23,6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94,5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92,4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91,5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93,8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95,5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0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3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Мегион автономного округа (далее – Мегион) за 2021-2023 годы и их планируемые значения на 3-летний период 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81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103"/>
        <w:gridCol w:w="1701"/>
        <w:gridCol w:w="993"/>
        <w:gridCol w:w="1113"/>
        <w:gridCol w:w="1178"/>
        <w:gridCol w:w="1152"/>
        <w:gridCol w:w="1152"/>
        <w:gridCol w:w="1152"/>
      </w:tblGrid>
      <w:tr w:rsidR="00557F58">
        <w:tc>
          <w:tcPr>
            <w:tcW w:w="675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5103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701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106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7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56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675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5103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701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11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7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52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52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52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510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9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1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7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52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52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52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331,0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279,0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275,0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275,7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275,3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273,7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26,7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27,5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27,7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202821,0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408122,0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528460,0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529873,0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531912,0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533874,0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6.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83191,1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95391,1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108848,8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120948,8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134149,7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146749,7</w:t>
            </w:r>
          </w:p>
        </w:tc>
      </w:tr>
      <w:tr w:rsidR="00557F58">
        <w:tc>
          <w:tcPr>
            <w:tcW w:w="675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52038,0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57275,4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63590,6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70533,1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78271,8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86859,5</w:t>
            </w:r>
          </w:p>
        </w:tc>
      </w:tr>
      <w:tr w:rsidR="00557F58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66817,8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72132,0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82521,4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94500,4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108164,9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123805,2</w:t>
            </w:r>
          </w:p>
        </w:tc>
      </w:tr>
      <w:tr w:rsidR="00557F58">
        <w:tc>
          <w:tcPr>
            <w:tcW w:w="675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78975,8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87622,0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97596,8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108707,1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121082,2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134866,1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73279,7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84323,6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89813,3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91101,9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91101,9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91101,9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62925,7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66286,8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80890,2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95326,0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95326,0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95326,0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71,8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74,2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57,9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1 - 6 лет, стоящих на учете для определения в муниципальные дошкольные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образовательные учреждения, в общей численности детей в возрасте 1 - 6 лет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9,6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14,1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67,3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66,2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18,8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14,8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19,7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184,5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195,3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222,2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227,7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240,3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244,7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71,4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71,3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82,6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81,9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19.2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106,8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106,8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48,1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48,2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60,1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71,9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99,1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21,7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19,5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19,6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20,4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1,8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96,5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96,5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28.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90,9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95,3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95,3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19,3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10,4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8,9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40,9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41,3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524626,5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379236,0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1015089,5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155327,0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155327,0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155327,0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6152,7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5383,4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5731,1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6365,4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6268,4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6307,0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47,7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55,5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52,875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59,253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59,444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59,730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60,015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60,283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862,8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866,1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866,1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866,1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866,1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866,1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14,5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13,9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12,7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12,7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12,7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12,7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28,7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29,8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30,8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30,8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1992,3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2878,9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4691,0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4691,0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4691,0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4691,0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239,4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213,7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212,0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212,0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40.3.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94,2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96,2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6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5103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0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1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Pr="00130666" w:rsidRDefault="00130666">
      <w:pPr>
        <w:jc w:val="right"/>
        <w:rPr>
          <w:color w:val="0D0D0D" w:themeColor="text1" w:themeTint="F2"/>
          <w:sz w:val="28"/>
          <w:szCs w:val="28"/>
          <w:highlight w:val="cyan"/>
        </w:rPr>
      </w:pPr>
      <w:r w:rsidRPr="00130666">
        <w:rPr>
          <w:bCs/>
          <w:color w:val="0D0D0D" w:themeColor="text1" w:themeTint="F2"/>
          <w:sz w:val="28"/>
          <w:szCs w:val="28"/>
          <w:highlight w:val="cyan"/>
        </w:rPr>
        <w:t>Таблица 4</w:t>
      </w:r>
    </w:p>
    <w:p w:rsidR="00557F58" w:rsidRPr="00130666" w:rsidRDefault="00130666">
      <w:pPr>
        <w:jc w:val="center"/>
        <w:outlineLvl w:val="0"/>
        <w:rPr>
          <w:color w:val="0D0D0D" w:themeColor="text1" w:themeTint="F2"/>
          <w:sz w:val="28"/>
          <w:szCs w:val="28"/>
          <w:highlight w:val="cyan"/>
        </w:rPr>
      </w:pPr>
      <w:r w:rsidRPr="00130666">
        <w:rPr>
          <w:bCs/>
          <w:color w:val="0D0D0D" w:themeColor="text1" w:themeTint="F2"/>
          <w:sz w:val="28"/>
          <w:szCs w:val="28"/>
          <w:highlight w:val="cyan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Нефтеюганск автономного округа (далее – Нефтеюганск) за 2021-2023 годы и их планируемые значения на 3-летний период </w:t>
      </w:r>
    </w:p>
    <w:p w:rsidR="00557F58" w:rsidRPr="00130666" w:rsidRDefault="00557F58">
      <w:pPr>
        <w:jc w:val="center"/>
        <w:outlineLvl w:val="0"/>
        <w:rPr>
          <w:color w:val="0D0D0D" w:themeColor="text1" w:themeTint="F2"/>
          <w:sz w:val="28"/>
          <w:szCs w:val="28"/>
          <w:highlight w:val="cy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4936"/>
        <w:gridCol w:w="1669"/>
        <w:gridCol w:w="966"/>
        <w:gridCol w:w="1147"/>
        <w:gridCol w:w="1169"/>
        <w:gridCol w:w="1144"/>
        <w:gridCol w:w="1144"/>
        <w:gridCol w:w="1144"/>
      </w:tblGrid>
      <w:tr w:rsidR="00557F58" w:rsidRPr="00130666">
        <w:tc>
          <w:tcPr>
            <w:tcW w:w="676" w:type="dxa"/>
            <w:vMerge w:val="restart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№ п/п</w:t>
            </w:r>
          </w:p>
          <w:p w:rsidR="00557F58" w:rsidRPr="00130666" w:rsidRDefault="00557F58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</w:p>
        </w:tc>
        <w:tc>
          <w:tcPr>
            <w:tcW w:w="5102" w:type="dxa"/>
            <w:vMerge w:val="restart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Показатель</w:t>
            </w:r>
          </w:p>
          <w:p w:rsidR="00557F58" w:rsidRPr="00130666" w:rsidRDefault="00557F58">
            <w:pPr>
              <w:rPr>
                <w:rFonts w:eastAsia="Calibri"/>
                <w:color w:val="0D0D0D" w:themeColor="text1" w:themeTint="F2"/>
                <w:highlight w:val="cyan"/>
              </w:rPr>
            </w:pPr>
          </w:p>
        </w:tc>
        <w:tc>
          <w:tcPr>
            <w:tcW w:w="1677" w:type="dxa"/>
            <w:vMerge w:val="restart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Единица измерения</w:t>
            </w:r>
          </w:p>
          <w:p w:rsidR="00557F58" w:rsidRPr="00130666" w:rsidRDefault="00557F58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</w:p>
        </w:tc>
        <w:tc>
          <w:tcPr>
            <w:tcW w:w="2124" w:type="dxa"/>
            <w:gridSpan w:val="2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Завершенный период</w:t>
            </w:r>
          </w:p>
        </w:tc>
        <w:tc>
          <w:tcPr>
            <w:tcW w:w="1175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Отчетный период</w:t>
            </w:r>
          </w:p>
        </w:tc>
        <w:tc>
          <w:tcPr>
            <w:tcW w:w="3465" w:type="dxa"/>
            <w:gridSpan w:val="3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Плановый период</w:t>
            </w:r>
          </w:p>
        </w:tc>
      </w:tr>
      <w:tr w:rsidR="00557F58" w:rsidRPr="00130666">
        <w:tc>
          <w:tcPr>
            <w:tcW w:w="676" w:type="dxa"/>
            <w:vMerge/>
          </w:tcPr>
          <w:p w:rsidR="00557F58" w:rsidRPr="00130666" w:rsidRDefault="00557F58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</w:p>
        </w:tc>
        <w:tc>
          <w:tcPr>
            <w:tcW w:w="5102" w:type="dxa"/>
            <w:vMerge/>
          </w:tcPr>
          <w:p w:rsidR="00557F58" w:rsidRPr="00130666" w:rsidRDefault="00557F58">
            <w:pPr>
              <w:rPr>
                <w:rFonts w:eastAsia="Calibri"/>
                <w:color w:val="0D0D0D" w:themeColor="text1" w:themeTint="F2"/>
                <w:highlight w:val="cyan"/>
              </w:rPr>
            </w:pPr>
          </w:p>
        </w:tc>
        <w:tc>
          <w:tcPr>
            <w:tcW w:w="1677" w:type="dxa"/>
            <w:vMerge/>
          </w:tcPr>
          <w:p w:rsidR="00557F58" w:rsidRPr="00130666" w:rsidRDefault="00557F58">
            <w:pPr>
              <w:rPr>
                <w:rFonts w:eastAsia="Calibri"/>
                <w:color w:val="0D0D0D" w:themeColor="text1" w:themeTint="F2"/>
                <w:highlight w:val="cyan"/>
              </w:rPr>
            </w:pPr>
          </w:p>
        </w:tc>
        <w:tc>
          <w:tcPr>
            <w:tcW w:w="96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20</w:t>
            </w:r>
            <w:r w:rsidRPr="00130666">
              <w:rPr>
                <w:rFonts w:eastAsia="Calibri"/>
                <w:color w:val="0D0D0D" w:themeColor="text1" w:themeTint="F2"/>
                <w:highlight w:val="cyan"/>
                <w:lang w:val="en-US"/>
              </w:rPr>
              <w:t>2</w:t>
            </w:r>
            <w:r w:rsidRPr="00130666">
              <w:rPr>
                <w:rFonts w:eastAsia="Calibri"/>
                <w:color w:val="0D0D0D" w:themeColor="text1" w:themeTint="F2"/>
                <w:highlight w:val="cyan"/>
              </w:rPr>
              <w:t>1 год</w:t>
            </w:r>
          </w:p>
        </w:tc>
        <w:tc>
          <w:tcPr>
            <w:tcW w:w="1158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2022 год</w:t>
            </w:r>
          </w:p>
        </w:tc>
        <w:tc>
          <w:tcPr>
            <w:tcW w:w="1175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2023 год</w:t>
            </w:r>
          </w:p>
        </w:tc>
        <w:tc>
          <w:tcPr>
            <w:tcW w:w="1155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2024 год</w:t>
            </w:r>
          </w:p>
        </w:tc>
        <w:tc>
          <w:tcPr>
            <w:tcW w:w="1155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2025 год</w:t>
            </w:r>
          </w:p>
        </w:tc>
        <w:tc>
          <w:tcPr>
            <w:tcW w:w="1155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2026 год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1</w:t>
            </w:r>
          </w:p>
        </w:tc>
        <w:tc>
          <w:tcPr>
            <w:tcW w:w="5102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bCs/>
                <w:color w:val="0D0D0D" w:themeColor="text1" w:themeTint="F2"/>
                <w:highlight w:val="cyan"/>
              </w:rPr>
              <w:t>2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3</w:t>
            </w:r>
          </w:p>
        </w:tc>
        <w:tc>
          <w:tcPr>
            <w:tcW w:w="96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4</w:t>
            </w:r>
          </w:p>
        </w:tc>
        <w:tc>
          <w:tcPr>
            <w:tcW w:w="1158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5</w:t>
            </w:r>
          </w:p>
        </w:tc>
        <w:tc>
          <w:tcPr>
            <w:tcW w:w="1175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6</w:t>
            </w:r>
          </w:p>
        </w:tc>
        <w:tc>
          <w:tcPr>
            <w:tcW w:w="1155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7</w:t>
            </w:r>
          </w:p>
        </w:tc>
        <w:tc>
          <w:tcPr>
            <w:tcW w:w="1155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8</w:t>
            </w:r>
          </w:p>
        </w:tc>
        <w:tc>
          <w:tcPr>
            <w:tcW w:w="1155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9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1.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единиц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330,6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344,6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349,3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357,7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365,2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370,5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31,5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31,6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31,7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31,8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32,0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32,1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3.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рублей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179981,0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331964,0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263668,0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277900,0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291513,0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303847,6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4.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31,2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31,6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31,7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32,2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32,4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32,6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5.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6.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11,4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51,6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38,5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38,5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38,5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7.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8.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8.1.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рублей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90470,0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101413,7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115203,3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118659,4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122812,5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127110,9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lastRenderedPageBreak/>
              <w:t>8.2.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рублей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60015,2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65094,4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73354,4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81064,0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81064,0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81064,0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8.3.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рублей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72594,1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79606,3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89849,4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89880,0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89880,0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89880,0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8.4.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рублей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86201,7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93990,0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106712,1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93687,0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93687,0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93687,0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8.5.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рублей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71720,1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80061,6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85867,8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92335,4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92335,4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92335,4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8.6.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рублей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49582,8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59296,8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64880,2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66519,1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66519,1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66519,1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9.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66,2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64,1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65,9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67,8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67,8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67,4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10.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11,4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10,1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10,7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7,2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11.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12.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0,5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13.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98,3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14.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 xml:space="preserve">Доля муниципальных общеобразовательных учреждений, здания которых находятся в аварийном </w:t>
            </w:r>
            <w:r w:rsidRPr="00130666">
              <w:rPr>
                <w:rFonts w:eastAsia="Calibri"/>
                <w:color w:val="0D0D0D" w:themeColor="text1" w:themeTint="F2"/>
                <w:highlight w:val="cyan"/>
              </w:rPr>
              <w:lastRenderedPageBreak/>
              <w:t>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lastRenderedPageBreak/>
              <w:t>процентов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lastRenderedPageBreak/>
              <w:t>15.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50,4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78,0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90,7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90,8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90,9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91,0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16.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34,9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33,9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34,7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34,6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33,9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33,2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17.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тыс. рублей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161,8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171,6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189,9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192,1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203,6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203,4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18.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76,9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104,8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92,8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87,5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87,8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87,8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19.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19.1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клубами и учреждениями клубного типа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300,0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400,0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500,0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500,0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500,0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19.2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библиотеками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46,4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47,4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29,9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47,4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47,4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47,4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19.3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парками культуры и отдыха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20.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21.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  <w:p w:rsidR="00557F58" w:rsidRPr="00130666" w:rsidRDefault="00557F58">
            <w:pPr>
              <w:rPr>
                <w:rFonts w:eastAsia="Calibri"/>
                <w:color w:val="0D0D0D" w:themeColor="text1" w:themeTint="F2"/>
                <w:highlight w:val="cyan"/>
              </w:rPr>
            </w:pP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22.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27,6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49,5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50,3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50,2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50,2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49,9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23.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74,2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93,2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99,3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99,6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99,6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lastRenderedPageBreak/>
              <w:t>24.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кв. метров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17,3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18,1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18,4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18,3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18,5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18,6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24.1.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кв. метров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0,1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0,5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0,6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25.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гектаров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9,9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10,9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25.1.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гектаров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0,2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26.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26.1.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объектов жилищного строительства – в течение 3 лет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кв. метров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2879,0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26.2.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иных объектов капитального строительства – в течение 5 лет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кв. метров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1116,0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27.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28.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</w:t>
            </w:r>
            <w:r w:rsidRPr="00130666">
              <w:rPr>
                <w:rFonts w:eastAsia="Calibri"/>
                <w:color w:val="0D0D0D" w:themeColor="text1" w:themeTint="F2"/>
                <w:highlight w:val="cyan"/>
              </w:rPr>
              <w:lastRenderedPageBreak/>
              <w:t>деятельность на территории муниципального, городского округа (муниципального района)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lastRenderedPageBreak/>
              <w:t>процентов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40,0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lastRenderedPageBreak/>
              <w:t>29.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30.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17,4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0,8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2,5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2,7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31.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66,6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45,5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36,5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56,2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72,4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77,1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32.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33.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тыс. рублей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19227,6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10076,2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41463,5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34.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35.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рублей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5128,5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3748,9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4652,8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4960,4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4966,3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4932,5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36.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да/нет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37.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процентов от числа опрошенных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26,6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48,2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55,8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lastRenderedPageBreak/>
              <w:t>38.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Среднегодовая численность постоянного населения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тыс. человек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128,422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124,756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125,840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125,962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126,084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126,772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39.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39.1.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кВт/ч в час на 1 проживающего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716,8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700,4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712,2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712,2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712,2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712,2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39.2.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Гкал на 1 кв. метр общей площади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0,2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0,2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39.3.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куб. метров на 1 проживающего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11,0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12,8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12,2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12,2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12,2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12,2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39.4.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куб. метров на 1 проживающего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34,2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33,7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33,9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33,9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33,9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33,9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39.5.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куб. метров на 1 проживающего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110,3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110,3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98,6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98,6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98,6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98,6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40.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 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40.1.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кВт/ч в час на 1 человека населения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95,9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98,7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91,6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91,1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91,0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90,5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40.2.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Гкал на 1 кв. метр общей площади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0,2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0,2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0,2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40.3.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куб. метров на 1 человека населения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0,1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0,1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40.4.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куб. метров на 1 человека населения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1,4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1,6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1,5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40.5.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куб. метров на 1 человека населения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41.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</w:t>
            </w:r>
            <w:r w:rsidRPr="00130666">
              <w:rPr>
                <w:rFonts w:eastAsia="Calibri"/>
                <w:color w:val="0D0D0D" w:themeColor="text1" w:themeTint="F2"/>
                <w:highlight w:val="cyan"/>
              </w:rPr>
              <w:lastRenderedPageBreak/>
              <w:t>в указанных сферах за счет бюджетных ассигнований бюджетов муниципальных образований</w:t>
            </w:r>
          </w:p>
        </w:tc>
        <w:tc>
          <w:tcPr>
            <w:tcW w:w="1677" w:type="dxa"/>
          </w:tcPr>
          <w:p w:rsidR="00557F58" w:rsidRPr="00130666" w:rsidRDefault="00557F58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lastRenderedPageBreak/>
              <w:t>41.1.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баллов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91,4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41.2.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баллов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41.3.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баллов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89,7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92,7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 w:rsidRPr="00130666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41.4.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баллов</w:t>
            </w: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  <w:tr w:rsidR="00557F58">
        <w:tc>
          <w:tcPr>
            <w:tcW w:w="676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41.5.</w:t>
            </w:r>
          </w:p>
        </w:tc>
        <w:tc>
          <w:tcPr>
            <w:tcW w:w="5102" w:type="dxa"/>
          </w:tcPr>
          <w:p w:rsidR="00557F58" w:rsidRPr="00130666" w:rsidRDefault="00130666">
            <w:pPr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7" w:type="dxa"/>
          </w:tcPr>
          <w:p w:rsidR="00557F58" w:rsidRPr="00130666" w:rsidRDefault="00130666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  <w:r w:rsidRPr="00130666">
              <w:rPr>
                <w:rFonts w:eastAsia="Calibri"/>
                <w:color w:val="0D0D0D" w:themeColor="text1" w:themeTint="F2"/>
                <w:highlight w:val="cyan"/>
              </w:rPr>
              <w:t>баллов</w:t>
            </w:r>
          </w:p>
          <w:p w:rsidR="00557F58" w:rsidRPr="00130666" w:rsidRDefault="00557F58">
            <w:pPr>
              <w:jc w:val="center"/>
              <w:rPr>
                <w:rFonts w:eastAsia="Calibri"/>
                <w:color w:val="0D0D0D" w:themeColor="text1" w:themeTint="F2"/>
                <w:highlight w:val="cyan"/>
              </w:rPr>
            </w:pPr>
          </w:p>
        </w:tc>
        <w:tc>
          <w:tcPr>
            <w:tcW w:w="96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Pr="00130666" w:rsidRDefault="00130666">
            <w:pPr>
              <w:jc w:val="center"/>
              <w:rPr>
                <w:color w:val="0D0D0D" w:themeColor="text1" w:themeTint="F2"/>
                <w:highlight w:val="cyan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  <w:tc>
          <w:tcPr>
            <w:tcW w:w="115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 w:rsidRPr="00130666">
              <w:rPr>
                <w:color w:val="0D0D0D" w:themeColor="text1" w:themeTint="F2"/>
                <w:highlight w:val="cyan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5</w:t>
      </w: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Нижневартовск автономного округа (далее – Нижневартовск) за 2021-2023 годы и их планируемые значения на 3-летний период </w:t>
      </w: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84"/>
        <w:gridCol w:w="1158"/>
        <w:gridCol w:w="1140"/>
        <w:gridCol w:w="1140"/>
        <w:gridCol w:w="1140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63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449,2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443,5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446,5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448,8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451,6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454,7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105083,0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130711,0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122382,0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129316,3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136641,9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144291,0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38,1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16,6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81864,9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90497,1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101517,8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105868,8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112742,2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120065,9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59718,3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65457,4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75983,2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76000,0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76050,0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69684,9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80093,5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85290,5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85300,0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85350,0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85400,0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81944,7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89486,6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97864,2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97950,0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98000,0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98050,0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71145,0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80807,8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86977,4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91297,0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91297,0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91297,0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53797,3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61487,4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67856,9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67856,9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67856,9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67856,9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76,1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12,6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5,4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99,8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5,7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6,1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15,8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15,2</w:t>
            </w:r>
          </w:p>
        </w:tc>
      </w:tr>
      <w:tr w:rsidR="00557F58">
        <w:tc>
          <w:tcPr>
            <w:tcW w:w="704" w:type="dxa"/>
            <w:tcBorders>
              <w:bottom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17.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157,4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155,4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182,0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168,2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158,5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135,0</w:t>
            </w:r>
          </w:p>
        </w:tc>
      </w:tr>
      <w:tr w:rsidR="00557F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</w:tr>
      <w:tr w:rsidR="00557F58">
        <w:tc>
          <w:tcPr>
            <w:tcW w:w="704" w:type="dxa"/>
            <w:tcBorders>
              <w:top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  <w:tcBorders>
              <w:top w:val="single" w:sz="4" w:space="0" w:color="auto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89,5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50,9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53,1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57,1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57,7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89,1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98,9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98,4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20,1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11,4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99,4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77,8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77,8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  <w:tcBorders>
              <w:bottom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9,4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8,0</w:t>
            </w:r>
          </w:p>
        </w:tc>
      </w:tr>
      <w:tr w:rsidR="00557F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67,1</w:t>
            </w:r>
          </w:p>
        </w:tc>
      </w:tr>
      <w:tr w:rsidR="00557F58">
        <w:tc>
          <w:tcPr>
            <w:tcW w:w="704" w:type="dxa"/>
            <w:tcBorders>
              <w:top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32.</w:t>
            </w:r>
          </w:p>
        </w:tc>
        <w:tc>
          <w:tcPr>
            <w:tcW w:w="4974" w:type="dxa"/>
            <w:tcBorders>
              <w:top w:val="single" w:sz="4" w:space="0" w:color="auto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58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94341,7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79576,6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5371,0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5371,0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4447,9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3177,7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3431,8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3845,9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3587,2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3565,2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40,2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279,780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285,155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288,815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289,680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290,502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291,527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1170,9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39.4.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32,4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176,6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171,0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167,0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163,0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152,0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152,0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  <w:tcBorders>
              <w:bottom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</w:t>
            </w:r>
          </w:p>
        </w:tc>
      </w:tr>
      <w:tr w:rsidR="00557F58"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  <w:tcBorders>
              <w:top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84,4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6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Нягань автономного округа (далее – Нягань) за 2021-2023 годы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02"/>
        <w:gridCol w:w="1723"/>
        <w:gridCol w:w="952"/>
        <w:gridCol w:w="1141"/>
        <w:gridCol w:w="1157"/>
        <w:gridCol w:w="1138"/>
        <w:gridCol w:w="1138"/>
        <w:gridCol w:w="1138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02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723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</w:tc>
        <w:tc>
          <w:tcPr>
            <w:tcW w:w="2093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14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02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723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52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14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3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3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3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02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52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4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3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3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3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430,1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386,3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391,9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392,6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403,0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31,7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31,5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31,6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394972,0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534836,0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614006,0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530607,5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592190,9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672318,3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81,5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82,8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83,7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6,3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</w:tr>
      <w:tr w:rsidR="00557F58">
        <w:tc>
          <w:tcPr>
            <w:tcW w:w="704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7.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02" w:type="dxa"/>
            <w:tcBorders>
              <w:top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77806,2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86704,2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97090,2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102527,7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109182,0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116289,5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53861,8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59579,3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65914,3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68339,5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68339,5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68339,5</w:t>
            </w:r>
          </w:p>
        </w:tc>
      </w:tr>
      <w:tr w:rsidR="00557F58">
        <w:tc>
          <w:tcPr>
            <w:tcW w:w="704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63545,4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69192,9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76647,2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103470,7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103470,7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103470,7</w:t>
            </w:r>
          </w:p>
        </w:tc>
      </w:tr>
      <w:tr w:rsidR="00557F58"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80100,2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86552,3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93886,0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93886,0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93886,0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93886,0</w:t>
            </w:r>
          </w:p>
        </w:tc>
      </w:tr>
      <w:tr w:rsidR="00557F58">
        <w:tc>
          <w:tcPr>
            <w:tcW w:w="704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02" w:type="dxa"/>
            <w:tcBorders>
              <w:top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64372,6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72573,7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77096,6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82862,3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82862,3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82862,3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52177,3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58235,6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61517,9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63216,3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63216,3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63216,3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70,4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71,2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55,1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55,1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10,3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общем числе муниципальных дошкольных образовательных учреждений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12.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1,8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97,3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97,3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42,9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42,9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85,4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86,2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85,4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23,9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25,7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157,4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162,9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183,7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188,4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202,8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207,3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79,4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82,1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127,0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127,0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72,6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72,6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72,6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72,6</w:t>
            </w:r>
          </w:p>
        </w:tc>
      </w:tr>
      <w:tr w:rsidR="00557F58">
        <w:tc>
          <w:tcPr>
            <w:tcW w:w="704" w:type="dxa"/>
            <w:tcBorders>
              <w:bottom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муниципальных учреждений культуры, здания которых находятся в аварийном состоянии или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требуют капитального ремонта, в общем количестве муниципальных учреждений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21.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02" w:type="dxa"/>
            <w:tcBorders>
              <w:top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42,9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44,1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56,4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59,7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86,8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92,1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23,7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25,4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2,4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2,4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02" w:type="dxa"/>
            <w:tcBorders>
              <w:top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90,6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90,8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28.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16,8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42,1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112862,4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97130,6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86450,0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85000,0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83000,0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80000,0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35.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6539,3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5894,7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5664,5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7491,2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5607,3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5586,2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46,5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60,5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79,1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58,635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62,960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63,260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63,378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63,600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63,849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1029,0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1028,9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1028,9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1028,9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1028,9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1028,9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12,7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11,3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25,6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94,1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91,2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90,5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90,2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</w:t>
            </w:r>
            <w:r>
              <w:rPr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40.3.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</w:t>
            </w:r>
            <w:r>
              <w:rPr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723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02" w:type="dxa"/>
            <w:tcBorders>
              <w:top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4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86,7</w:t>
            </w:r>
          </w:p>
        </w:tc>
        <w:tc>
          <w:tcPr>
            <w:tcW w:w="115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83,2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98,3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93,4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02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72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5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86,0</w:t>
            </w:r>
          </w:p>
        </w:tc>
        <w:tc>
          <w:tcPr>
            <w:tcW w:w="115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br w:type="page" w:clear="all"/>
      </w: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7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Покачи автономного округа (далее – Покачи) за 2021-2023 годы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84"/>
        <w:gridCol w:w="1158"/>
        <w:gridCol w:w="1140"/>
        <w:gridCol w:w="1140"/>
        <w:gridCol w:w="1140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63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208,0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232,3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230,8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269,3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269,0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271,2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20,5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46068,0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128384,0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102026,0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32986,7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22965,8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23299,8</w:t>
            </w:r>
          </w:p>
        </w:tc>
      </w:tr>
      <w:tr w:rsidR="00557F58">
        <w:tc>
          <w:tcPr>
            <w:tcW w:w="704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  <w:tcBorders>
              <w:bottom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10,8</w:t>
            </w:r>
          </w:p>
        </w:tc>
      </w:tr>
      <w:tr w:rsidR="00557F58"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  <w:tcBorders>
              <w:top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2,8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74137,5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85331,4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98187,1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102114,6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106199,2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110447,1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51959,7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57272,4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65317,1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68059,7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68059,7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68059,7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65664,1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71751,9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80236,8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83412,7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83412,7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83412,7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78137,6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85096,0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92021,1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92021,1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92021,1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92021,1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69206,6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77956,3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83629,2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87674,8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87674,8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87674,8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45478,3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52957,7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58609,5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58613,9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58613,9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58613,9</w:t>
            </w:r>
          </w:p>
        </w:tc>
      </w:tr>
      <w:tr w:rsidR="00557F58">
        <w:tc>
          <w:tcPr>
            <w:tcW w:w="704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  <w:tcBorders>
              <w:bottom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64,6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58,6</w:t>
            </w:r>
          </w:p>
        </w:tc>
      </w:tr>
      <w:tr w:rsidR="00557F58"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  <w:tcBorders>
              <w:top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90,2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192,8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99,2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93,1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bottom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22.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61,0</w:t>
            </w:r>
          </w:p>
        </w:tc>
      </w:tr>
      <w:tr w:rsidR="00557F58">
        <w:tc>
          <w:tcPr>
            <w:tcW w:w="704" w:type="dxa"/>
            <w:tcBorders>
              <w:top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  <w:tcBorders>
              <w:top w:val="single" w:sz="4" w:space="0" w:color="auto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95,2</w:t>
            </w:r>
          </w:p>
        </w:tc>
        <w:tc>
          <w:tcPr>
            <w:tcW w:w="1084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104,1</w:t>
            </w:r>
          </w:p>
        </w:tc>
        <w:tc>
          <w:tcPr>
            <w:tcW w:w="1158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96,6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96,6</w:t>
            </w:r>
          </w:p>
        </w:tc>
        <w:tc>
          <w:tcPr>
            <w:tcW w:w="1140" w:type="dxa"/>
            <w:tcBorders>
              <w:top w:val="single" w:sz="4" w:space="0" w:color="auto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16,8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19,1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18,9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25,4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26,2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bottom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7128,5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8310,2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8987,7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9425,4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9374,6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9324,3</w:t>
            </w:r>
          </w:p>
        </w:tc>
      </w:tr>
      <w:tr w:rsidR="00557F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Наличие в муниципальном, городском округе (муниципальном районе) утвержденного генерального плана муниципального, городского округа (схемы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территориального планирования муниципального района)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да/нет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37.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  <w:tcBorders>
              <w:top w:val="single" w:sz="4" w:space="0" w:color="000000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18,272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16,146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16,378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16,600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16,690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16,780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729,7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709,5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693,0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692,1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685,7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679,4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12,7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12,7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12,6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20,1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20,5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216,5</w:t>
            </w:r>
          </w:p>
        </w:tc>
        <w:tc>
          <w:tcPr>
            <w:tcW w:w="108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213,5</w:t>
            </w:r>
          </w:p>
        </w:tc>
        <w:tc>
          <w:tcPr>
            <w:tcW w:w="11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196,8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179,8</w:t>
            </w:r>
          </w:p>
        </w:tc>
        <w:tc>
          <w:tcPr>
            <w:tcW w:w="114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172,8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1,8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92,1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97,3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96,2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bottom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  <w:tcBorders>
              <w:bottom w:val="single" w:sz="4" w:space="0" w:color="auto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none" w:sz="255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single" w:sz="4" w:space="0" w:color="000000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8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Достигнутые значения показателей для оценки эффективности деятельности органов местного самоуправления городского округа Пыть-Ях автономного округа (далее – Пыть-Ях) за 2021-2023 годы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 и их планируемые значения на 3-летний период 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84"/>
        <w:gridCol w:w="1158"/>
        <w:gridCol w:w="1140"/>
        <w:gridCol w:w="1140"/>
        <w:gridCol w:w="1140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63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358,8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357,8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380,8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384,5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388,5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388,6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53711,0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100092,0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161045,0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170790,2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185154,3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200236,6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76026,3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85432,4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101224,5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105779,6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110010,8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114411,2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52049,3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56580,1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61375,8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63830,8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66384,1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69039,4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64736,5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75703,6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83373,6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86708,5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90176,9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93784,0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88544,4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100114,6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112261,9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113384,5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114518,4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115663,5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66630,4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74733,8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81407,6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88082,7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88082,7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88082,7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59164,6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67444,3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70550,4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74430,7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74430,7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74430,7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80,8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179,0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194,5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184,9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188,6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192,3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в том числе земельных участков, предоставленных для жилищного строительства, индивидуального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-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-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19,8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103505,3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4885,4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5596,7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5623,0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6486,0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6474,2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6454,9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39,376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40,219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40,391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40,569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40,669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40,791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938,2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930,6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1045,5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1044,5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1044,4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1039,8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39.3.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124,2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131,8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131,2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9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Радужный автономного округа (далее – Радужный) за 2021-2023 годы </w:t>
      </w: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84"/>
        <w:gridCol w:w="1158"/>
        <w:gridCol w:w="1140"/>
        <w:gridCol w:w="1140"/>
        <w:gridCol w:w="1140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63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250,9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251,0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256,6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262,6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270,7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37992,0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54221,0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141741,0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120445,0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128464,0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136406,0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77128,9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87771,4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96809,3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101649,8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105919,1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110473,6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48789,5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53510,0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63294,4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70933,0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71373,4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71373,4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66334,1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73557,3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87092,0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93470,4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104094,5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104185,1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77353,3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86044,2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95671,8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93498,0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93498,0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93498,0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68728,6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77370,9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84096,2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86225,7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86579,3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86579,3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50724,5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60669,4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66018,9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68369,2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69533,0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69533,0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1 - 6 лет, стоящих на учете для определения в муниципальные дошкольные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172,9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174,0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19.2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rPr>
          <w:trHeight w:val="1234"/>
        </w:trPr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85,8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многоквартирных домов, в которых собственники помещений выбрали и реализуют один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2036,1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2036,1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1037,2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6187,1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6311,4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7012,8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7259,8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7355,3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7303,4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44,282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44,176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45,105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45,200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45,700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46,100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704,2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726,6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716,3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713,5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712,5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712,5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40.2.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10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Сургут автономного округа (далее – Сургут) за 2021-2023 годы </w:t>
      </w: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97"/>
        <w:gridCol w:w="1160"/>
        <w:gridCol w:w="1135"/>
        <w:gridCol w:w="1135"/>
        <w:gridCol w:w="1135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76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05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456,6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455,1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476,3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485,8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508,6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134648,0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87014,0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88365,0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104317,2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113805,9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121071,5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100489,2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116396,0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126143,6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134214,5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142322,8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150694,4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60063,2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67370,5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71685,4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74407,1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74407,1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74407,1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74851,4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83158,4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88878,7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92210,7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92210,7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92210,7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91457,9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99132,3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105568,5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109607,9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109607,9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109607,9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75965,2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84621,1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90049,9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101192,7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101192,7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101192,7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63758,5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72888,7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82232,8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85357,6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85357,6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85357,6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139,1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153,8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155,1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155,7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-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353903,0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426201,0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220729,0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303623,0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303566,0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96999,0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-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415599,0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429512,0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343021,0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566747,0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354141,0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199942,0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1675778,2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873373,8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2573047,6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2411181,2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2132110,1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1977023,7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3482,3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2870,2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3259,7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3101,7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3050,6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3022,2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Наличие в муниципальном, городском округе (муниципальном районе) утвержденного генерального плана муниципального, городского округа (схемы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да/нет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391,588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402,663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413,643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424,453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430,673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434,943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1793,4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1345,7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1303,7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1303,7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1303,7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1303,7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396,4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282,8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313,3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313,3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313,3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313,3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rPr>
          <w:trHeight w:val="690"/>
        </w:trPr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11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Урай автономного округа (далее – Урай) за 2021-2023 годы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557F58" w:rsidRDefault="00557F58">
      <w:pPr>
        <w:rPr>
          <w:bCs/>
          <w:color w:val="0D0D0D" w:themeColor="text1" w:themeTint="F2"/>
          <w:sz w:val="28"/>
          <w:szCs w:val="28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87"/>
        <w:gridCol w:w="1143"/>
        <w:gridCol w:w="1158"/>
        <w:gridCol w:w="1140"/>
        <w:gridCol w:w="1140"/>
        <w:gridCol w:w="1140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</w:tc>
        <w:tc>
          <w:tcPr>
            <w:tcW w:w="49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130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315,4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297,6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298,4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298,6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299,4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64707,0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82473,0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69781,0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72572,2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75475,1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78494,1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61,4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75724,7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85447,5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97686,2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101593,6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105657,4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109883,7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52359,5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58672,4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65806,9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67233,2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67233,2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67233,2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63198,5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68241,1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79552,2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81894,9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81894,9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81894,9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76729,6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83263,6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91819,7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91819,7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91819,7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91819,7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67992,0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76675,0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82855,7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86169,9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89616,7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93201,4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46284,0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52136,9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57853,5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57853,5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57853,5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57853,5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74,3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96,9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83,1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29,4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154,0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163,1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184,4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193,7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194,7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82,5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54,5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88,5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23,1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3,9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557F58">
        <w:trPr>
          <w:trHeight w:val="1012"/>
        </w:trPr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25.1.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98,8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населения, получившего жилые помещения и улучшившего жилищные условия в отчетном году, в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62,4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6337,3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6106,2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7241,5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7554,3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7093,0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7102,0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48,3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40,651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41,169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41,249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41,362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41,378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41,406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687,0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686,3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653,1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653,0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652,0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39.2.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26,1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166,5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169,6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168,5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168,4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168,3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168,2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122,7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115,9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115,8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115,7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8,6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87,6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8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12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Ханты-Мансийск автономного округа (далее – Ханты-Мансийск) за 2021-2023 годы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97"/>
        <w:gridCol w:w="1160"/>
        <w:gridCol w:w="1135"/>
        <w:gridCol w:w="1135"/>
        <w:gridCol w:w="1135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76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05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358,6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348,6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369,8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389,3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402,1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410,7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324378,0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251803,0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470321,0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503243,0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537470,0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576163,0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площади земельных участков, являющихся объектами налогообложения земельным налогом, в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94332,0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102408,6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119189,4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126865,0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134477,0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141200,0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59885,6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64061,3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72374,7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75269,7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78280,5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81411,7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75420,8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80999,1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90459,8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94078,2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97841,3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101755,0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79742,8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88753,4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100726,5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104755,6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108945,8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113303,6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74493,0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83611,3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91316,7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96727,4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96727,4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96727,4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62774,0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75345,2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83324,7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95326,0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101999,0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109139,0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180,9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181,6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185,7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182,3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формы и формы собственности, в общей численности детей данной возрастной группы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26.1.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143,2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145,0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147,0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149,0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475737,2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4696,3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4544,5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5504,4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5286,7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5200,4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5108,4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104,556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109,239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110,759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112,598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114,432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116,507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784,9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775,7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887,2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930,6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972,0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1011,7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107,8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194,8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13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городского округа Югорск автономного округа (далее – Югорск) за 2021-2023 годы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557F58" w:rsidRDefault="00557F58">
      <w:pPr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84"/>
        <w:gridCol w:w="1158"/>
        <w:gridCol w:w="1140"/>
        <w:gridCol w:w="1140"/>
        <w:gridCol w:w="1140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63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309,8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306,8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311,1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311,4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311,9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312,1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30881,0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44401,0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91840,0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64385,8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60859,3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60723,2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104503,8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121687,8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131829,3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137096,2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142580,0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148283,2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48667,4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56553,6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60756,5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63186,8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65714,2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68342,8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64972,9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67465,7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77398,2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80494,1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83713,9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87062,4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76033,4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83091,6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93087,8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95032,7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98834,0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102787,3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71038,4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79582,5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88315,2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92314,8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92314,8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92314,8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50662,8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54171,5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67869,9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82507,5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82560,5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82560,5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</w:t>
            </w:r>
            <w:r>
              <w:rPr>
                <w:rFonts w:eastAsia="Calibri"/>
                <w:color w:val="0D0D0D" w:themeColor="text1" w:themeTint="F2"/>
              </w:rPr>
              <w:br/>
              <w:t>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34,8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183,7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196,1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222,0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278,4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278,6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274,8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муниципальных учреждений культуры, здания которых находятся в аварийном состоянии или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97,5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-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-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51,8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5766,2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6296,8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6889,5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7202,3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7166,7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7102,0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38,705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38,462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38,922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39,403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39,757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40,110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972,8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939,2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819,4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809,4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802,2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795,1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137,7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107,4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40.3.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14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Белоярского муниципального района автономного округа (далее – Белоярский район) за 2021-2023 годы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их планируемые значения на 3-летний период 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84"/>
        <w:gridCol w:w="1158"/>
        <w:gridCol w:w="1140"/>
        <w:gridCol w:w="1140"/>
        <w:gridCol w:w="1140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63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216,2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202,6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201,8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264911,0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227144,0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450342,0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438309,0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446012,0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463909,0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105899,5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121713,4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132721,4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140037,6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146685,6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154224,5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53648,3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58377,3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67646,1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67646,1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67646,1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67646,1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70522,7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78479,3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85985,8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85985,8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85985,8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85985,8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88762,6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94630,2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106844,2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106844,2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106844,2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106844,2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74965,5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83435,5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89261,3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92831,7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96544,9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96544,9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46868,2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55214,8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65078,6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65078,6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65078,6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65078,9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232,3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247,9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269,3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303,0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323,3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323,4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85,5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138,8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147,3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8717,3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9597,0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11071,0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11781,1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11731,7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11750,0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Наличие в муниципальном, городском округе (муниципальном районе) утвержденного генерального плана муниципального, городского округа (схемы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да/нет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28,717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28,829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28,638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28,638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28,638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28,638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15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Березовского муниципального района автономного округа (далее – Березовский район)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за 2021-2023 годы и их планируемые значения на 3-летний период 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84"/>
        <w:gridCol w:w="1158"/>
        <w:gridCol w:w="1140"/>
        <w:gridCol w:w="1140"/>
        <w:gridCol w:w="1140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63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243,1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225,2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223,7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222,8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222,3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221,7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11625,0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38647,0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23449,0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23610,0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24050,0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24510,0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88834,2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99891,2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108535,8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115420,0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121515,0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127221,0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51618,3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55699,7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62198,3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62521,0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69447,0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76211,0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62607,2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68728,3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76427,6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84127,7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91878,0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99650,0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85783,2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90349,1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105515,2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110025,0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112314,0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114001,0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53131,6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59093,3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65738,9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72420,0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85770,0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45926,6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52182,9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57554,0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62970,0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68380,0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73770,0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13,5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264,0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299,6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326,7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396,9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395,0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135,7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135,7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135,7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153,5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153,5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153,5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153,5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153,5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153,5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в том числе земельных участков, предоставленных для жилищного строительства, индивидуального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29623,0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18823,0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18823,0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3645,4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7240,0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4190,8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12787,2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12757,3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15108,2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13664,2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12506,5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12669,0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33,8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22,211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22,784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22,755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22,888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23,029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23,183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829,6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818,0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814,4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814,9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815,1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815,2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39.3.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167,3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160,9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159,9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158,9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84,5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16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Кондинского муниципального района автономного округа (далее – Кондинский район)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за 2021-2023 годы и их планируемые значения на 3-летний период </w:t>
      </w:r>
    </w:p>
    <w:p w:rsidR="00557F58" w:rsidRDefault="00557F58">
      <w:pPr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5"/>
        <w:gridCol w:w="1674"/>
        <w:gridCol w:w="979"/>
        <w:gridCol w:w="1067"/>
        <w:gridCol w:w="1157"/>
        <w:gridCol w:w="1247"/>
        <w:gridCol w:w="1050"/>
        <w:gridCol w:w="1140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5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46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37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5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223,6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219,4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221,4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221,6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221,9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222,3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28,9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28,9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29,9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1569774,0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1957498,0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2091110,0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2173013,7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2190019,9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2278299,5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93,9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98,9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6.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24,9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24,2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24,1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79629,2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88670,4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100557,4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104579,7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108762,9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113113,4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45903,6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51659,8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58151,8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60477,9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62897,0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65412,9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58989,2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66975,9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73512,6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76453,1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79511,2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82691,6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76148,1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83542,4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95309,4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99151,8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103117,9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107242,6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47973,6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53876,4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59768,3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62159,0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64645,4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67231,2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73,9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1 - 6 лет, стоящих на учете для определения в муниципальные дошкольные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11.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98,3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98,3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6,7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13,3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83,1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78,2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21,5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10,1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5,6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299,7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322,2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354,6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377,0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403,9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432,8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94,7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95,2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19.2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151,0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143,7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143,7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143,7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143,7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11,5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11,5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50,1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92,1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29,9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30,1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30,1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65,4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67,3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34,4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7,5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7,8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5,6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общем числе многоквартирных домов, в которых собственники помещений должны выбрать способ управления данными домами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28.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99,1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99,6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9,5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9,5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21,3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26,2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19,4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21,2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34.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8532,1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6663,0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7314,6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8104,7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7620,4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7580,8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45,6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69,5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30,452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30,585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30,441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30,510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30,650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30,810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874,8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868,6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865,1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865,1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865,1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865,1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263,1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302,3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274,0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273,4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272,2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270,8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40.2.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87,6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84,1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5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81,5</w:t>
            </w:r>
          </w:p>
        </w:tc>
        <w:tc>
          <w:tcPr>
            <w:tcW w:w="10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24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17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Нефтеюганского муниципального района автономного округа (далее – Нефтеюганский район)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за 2021-2023 годы и их планируемые значения на 3-летний период 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97"/>
        <w:gridCol w:w="1160"/>
        <w:gridCol w:w="1135"/>
        <w:gridCol w:w="1135"/>
        <w:gridCol w:w="1135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76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05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203,4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198,9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208,9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211,2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212,3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3458514,0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3758023,0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4693088,0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4708034,0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4708034,0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4708034,0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92435,6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104736,5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117502,3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125953,0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134770,0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144203,9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51118,6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55766,8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60919,3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60920,3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60920,3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60920,3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66867,4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72366,5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78340,6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78306,2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78306,2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78306,2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82225,7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89197,3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95284,5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95284,5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95284,5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95284,5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68587,0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77241,8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83675,2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89397,0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89397,0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89397,0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61576,2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69211,0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75849,7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65966,7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65966,7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65966,7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262,6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284,1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297,7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286,0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307,4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307,4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107,7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107,7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174,6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185,9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-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-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8015,8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7713,5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7676,8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9178,5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9490,5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9490,5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Наличие в муниципальном, городском округе (муниципальном районе) утвержденного генерального плана муниципального, городского округа (схемы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да/нет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45,073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46,861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47,250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47,250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47,250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47,250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742,5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741,1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718,5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707,0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703,8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703,3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  <w:r>
              <w:rPr>
                <w:color w:val="0D0D0D" w:themeColor="text1" w:themeTint="F2"/>
                <w:lang w:val="en-US"/>
              </w:rPr>
              <w:t>4.9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126,9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18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Достигнутые значения показателей для оценки эффективности деятельности органов местного самоуправления Нижневартовского</w:t>
      </w:r>
      <w:r>
        <w:rPr>
          <w:color w:val="0D0D0D" w:themeColor="text1" w:themeTint="F2"/>
        </w:rPr>
        <w:t xml:space="preserve"> 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муниципального района автономного округа (далее – Нижневартовский район)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за 2021-2023 годы и их планируемые значения на 3-летний период </w:t>
      </w:r>
    </w:p>
    <w:p w:rsidR="00557F58" w:rsidRDefault="00557F58">
      <w:pPr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97"/>
        <w:gridCol w:w="1160"/>
        <w:gridCol w:w="1135"/>
        <w:gridCol w:w="1135"/>
        <w:gridCol w:w="1135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76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05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223,1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215,6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218,7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219,3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219,7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221,2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4122301,0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4691087,0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4817543,0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4882523,0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4980174,0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5079777,0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86827,3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96411,4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107537,9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109352,0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116460,0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121118,4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49700,0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56234,0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58622,4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63544,4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66086,2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68729,6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58965,7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66808,6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69330,2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75493,7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78513,4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81653,9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78512,7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85427,5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95492,3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100770,9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109513,4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113893,9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71054,9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80060,2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86837,9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90311,4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93923,9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97680,8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49209,8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53606,4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56981,0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61325,3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63778,3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66329,4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320,7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350,5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375,4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378,2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391,4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391,5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161,8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280,8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281,2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281,6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282,0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282,3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282,8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в том числе земельных участков, предоставленных для жилищного строительства, индивидуального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15215,1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14919,0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17008,0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16417,2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15823,8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16884,2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36,260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38,449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38,600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38,620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38,640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38,650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739,5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739,2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739,1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738,8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738,7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738,5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39.3.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rPr>
          <w:trHeight w:val="681"/>
        </w:trPr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19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Октябрьского муниципального района автономного округа (далее – Октябрьский район)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за 2021-2023 годы и их планируемые значения на 3-летний период </w:t>
      </w:r>
    </w:p>
    <w:p w:rsidR="00557F58" w:rsidRDefault="00557F58">
      <w:pPr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84"/>
        <w:gridCol w:w="1158"/>
        <w:gridCol w:w="1140"/>
        <w:gridCol w:w="1140"/>
        <w:gridCol w:w="1140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63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20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259,0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215,2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227,2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227,3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227,8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228,4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481769,0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619460,0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584671,0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621815,1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631117,2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637244,6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91071,6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106535,1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113393,5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119063,2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125016,3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131267,2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50372,2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54876,2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63327,2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64213,8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65112,8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66024,4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61157,9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66067,0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71283,6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72281,6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73293,5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74319,6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81642,4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89683,2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93704,6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95016,5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96346,7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97695,5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68940,3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70035,0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83211,2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87304,5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87304,5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87304,5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50197,9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53896,1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54821,2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55698,3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55698,3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55698,3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1 - 6 лет, стоящих на учете для определения в муниципальные дошкольные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6,7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309,5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338,4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362,7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380,9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394,8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402,7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77,8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77,8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19.2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169,0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186,1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169,7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171,8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171,8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171,8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93,8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50,5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–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–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52,6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35,3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35,8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8023,6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7392,2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8593,2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8593,2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8593,2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8593,2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42,5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27,608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32,337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32,085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32,162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32,263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32,401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838,2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1016,9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1016,4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1015,0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1014,6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1012,9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11,5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13,1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154,1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151,4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152,2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152,1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152,0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151,6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160,8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204,0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205,7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205,2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204,6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203,7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40.2.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7,5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88,4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88,4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90,2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83,6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95,3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94,4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084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5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20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Советского муниципального района автономного округа (далее – Советский район)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за 2021-2023 годы и их планируемые значения на 3-летний период </w:t>
      </w:r>
    </w:p>
    <w:p w:rsidR="00557F58" w:rsidRDefault="00557F58">
      <w:pPr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97"/>
        <w:gridCol w:w="1160"/>
        <w:gridCol w:w="1135"/>
        <w:gridCol w:w="1135"/>
        <w:gridCol w:w="1135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76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05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305,6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302,9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321,9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334,8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343,3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349,6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219097,0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215883,0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252586,0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253124,0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253620,0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253937,0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73025,2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82262,1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91953,4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97010,8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102346,4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107975,5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50877,6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55682,1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68507,5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68507,5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68507,5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68507,5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64337,1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69334,6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81754,8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81754,8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81754,8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81754,8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76302,2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83345,0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98659,5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98659,5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98659,5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98659,5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57840,1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64291,4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69550,3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71992,3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71992,3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71992,3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39767,8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48311,8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53740,0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54067,0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54067,0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54067,0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188,1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200,6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221,5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234,9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239,9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243,2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146,5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151,8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-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-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552174,3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626257,9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458302,2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195279,8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195279,8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195279,8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7444,2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5590,9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6359,0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9253,6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8374,3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7533,9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Наличие в муниципальном, городском округе (муниципальном районе) утвержденного генерального плана муниципального, городского округа (схемы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да/нет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47,022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46,681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46,538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46,474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46,431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46,401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972,2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972,2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972,2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972,2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972,2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972,1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160,6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151,7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21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Сургутского муниципального района автономного округа (далее – Сургутский район)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за 2021-2023 годы и их планируемые значения на 3-летний период </w:t>
      </w:r>
    </w:p>
    <w:p w:rsidR="00557F58" w:rsidRDefault="00557F58">
      <w:pPr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97"/>
        <w:gridCol w:w="1160"/>
        <w:gridCol w:w="1135"/>
        <w:gridCol w:w="1135"/>
        <w:gridCol w:w="1135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76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05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195,2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195,6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217,4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221,8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1777914,0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2435429,0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2641589,0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2651312,0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2664608,0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2678534,0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98550,5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118004,9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123374,8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132965,6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139826,6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147111,5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54323,4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59846,5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67145,6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67145,6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67145,6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67145,6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67947,9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76366,0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84651,2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84651,2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84651,2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84651,2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87046,4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95870,8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100266,8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100266,8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100266,8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100266,8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8.5.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68449,9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75657,7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82934,2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84645,3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86492,9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88395,7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63432,9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69954,9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80432,4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80512,8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80512,8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80512,8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обучающихся в муниципальных общеобразовательных учреждениях, занимающихся во вторую (третью) смену, в общей численности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195,8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199,6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222,7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229,9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238,4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247,6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19.2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113,6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113,6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73,1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111,1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138,0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в том числе земельных участков, предоставленных для жилищного строительства, индивидуального </w:t>
            </w:r>
            <w:r>
              <w:rPr>
                <w:rFonts w:eastAsia="Calibri"/>
                <w:color w:val="0D0D0D" w:themeColor="text1" w:themeTint="F2"/>
              </w:rPr>
              <w:lastRenderedPageBreak/>
              <w:t>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-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-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81,6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51,5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80,5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64,6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68,1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109994,6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50795,8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20490,3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20490,3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5966,1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6629,8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7824,0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8311,9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8311,9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8311,9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126,489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127,128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128,801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130,653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131,963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133,258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915,9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879,1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975,9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975,9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975,9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975,9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39.3.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11,7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11,7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24,9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24,9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753,4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752,3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801,9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801,9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801,9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801,9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121,3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126,8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125,0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123,7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122,5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1,2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1,3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93,2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41.3.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90,5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9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6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22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Достигнутые значения показателей для оценки эффективности деятельности органов местного самоуправления Ханты-Мансийского муниципального района автономного округа (далее – Ханты-Мансийский район)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за 202</w:t>
      </w:r>
      <w:r>
        <w:rPr>
          <w:bCs/>
          <w:color w:val="0D0D0D" w:themeColor="text1" w:themeTint="F2"/>
          <w:sz w:val="28"/>
          <w:szCs w:val="28"/>
        </w:rPr>
        <w:t>1</w:t>
      </w:r>
      <w:r>
        <w:rPr>
          <w:bCs/>
          <w:color w:val="0D0D0D" w:themeColor="text1" w:themeTint="F2"/>
          <w:sz w:val="28"/>
          <w:szCs w:val="28"/>
          <w:lang w:eastAsia="en-US"/>
        </w:rPr>
        <w:t>-202</w:t>
      </w:r>
      <w:r>
        <w:rPr>
          <w:bCs/>
          <w:color w:val="0D0D0D" w:themeColor="text1" w:themeTint="F2"/>
          <w:sz w:val="28"/>
          <w:szCs w:val="28"/>
        </w:rPr>
        <w:t>3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 годы и их планируемые значения на 3-летний период 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4"/>
        <w:gridCol w:w="1674"/>
        <w:gridCol w:w="979"/>
        <w:gridCol w:w="1056"/>
        <w:gridCol w:w="1159"/>
        <w:gridCol w:w="1149"/>
        <w:gridCol w:w="1149"/>
        <w:gridCol w:w="1149"/>
      </w:tblGrid>
      <w:tr w:rsidR="00557F58">
        <w:tc>
          <w:tcPr>
            <w:tcW w:w="70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№ п/п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Показатель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 w:val="restart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Единица измерения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2035" w:type="dxa"/>
            <w:gridSpan w:val="2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Завершенный период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Отчетный период</w:t>
            </w:r>
          </w:p>
        </w:tc>
        <w:tc>
          <w:tcPr>
            <w:tcW w:w="3447" w:type="dxa"/>
            <w:gridSpan w:val="3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Плановый период</w:t>
            </w:r>
          </w:p>
        </w:tc>
      </w:tr>
      <w:tr w:rsidR="00557F58">
        <w:tc>
          <w:tcPr>
            <w:tcW w:w="704" w:type="dxa"/>
            <w:vMerge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49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  <w:vMerge/>
          </w:tcPr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</w:t>
            </w:r>
            <w:r>
              <w:rPr>
                <w:rFonts w:eastAsia="Calibri"/>
                <w:color w:val="0D0D0D" w:themeColor="text1" w:themeTint="F2"/>
                <w:lang w:val="en-US"/>
              </w:rPr>
              <w:t>2</w:t>
            </w:r>
            <w:r>
              <w:rPr>
                <w:rFonts w:eastAsia="Calibri"/>
                <w:color w:val="0D0D0D" w:themeColor="text1" w:themeTint="F2"/>
              </w:rPr>
              <w:t>1 год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2022 год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2023 год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2024 год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2025 год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2026 год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49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2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единиц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208,8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207,0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209,0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213,2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215,1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214,5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8,1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8357381,0</w:t>
            </w:r>
          </w:p>
        </w:tc>
        <w:tc>
          <w:tcPr>
            <w:tcW w:w="1056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12240004,0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14899381,0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14438363,2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15111307,6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15765503,5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37,8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37,8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37,8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37,8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37,8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37,8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16,5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16,6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16,6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53,3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60,9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60,7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крупных и средних предприятий и некоммерческих организаций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93236,8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107656,4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119745,6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120189,5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126199,0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132509,0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49413,9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55480,1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58698,8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59670,7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62952,6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66415,0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66192,6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74220,9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79903,7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82083,5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86598,1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91361,0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77245,5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88831,1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95178,7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100413,5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105936,2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111762,7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67223,9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75849,4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79241,3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88595,0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88595,0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88595,0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8.6.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47135,5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74336,4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94785,4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94785,5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94785,5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94785,5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60,9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62,4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1 - 6 лет, стоящих на учете для определения в муниципальные дошкольные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образовательные учреждения, в общей численности детей в возрасте 1 - 6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96,1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96,1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96,1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96,4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96,4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4,2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4,2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90,7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581,1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611,0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671,9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706,1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741,4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778,5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детей в возрасте с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87,6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87,5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19.1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клубами и учреждениями клубного типа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75,8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75,8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92,6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19.2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библиотеками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143,3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142,8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136,9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136,9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136,9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136,9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19.3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парками культуры и отдыха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66,7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46,4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64,1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64,4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83,2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102,8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83,9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83,9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23,2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23,7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23,5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23,5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23,5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Общая площадь жилых помещений, приходящаяся в среднем на 1 жителя, в том числе введенная в действие за 1 год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 в расчете на 10 тыс. человек населения, всего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1450,1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1538,3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1570,4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1578,9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1574,1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1569,4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гектаров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2,1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2,2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2,4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объектов жилищного строительства - в течение 3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иных объектов капитального строительства - в течение 5 лет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кв. метров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</w:t>
            </w:r>
            <w:r>
              <w:rPr>
                <w:rFonts w:eastAsia="Calibri"/>
                <w:color w:val="0D0D0D" w:themeColor="text1" w:themeTint="F2"/>
              </w:rPr>
              <w:lastRenderedPageBreak/>
              <w:t>общем числе многоквартирных домов, в которых собственники помещений должны выбрать способ управления данными домами</w:t>
            </w:r>
          </w:p>
          <w:p w:rsidR="00557F58" w:rsidRDefault="00557F58">
            <w:pPr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97,2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97,1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97,1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28.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8,5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15,8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19,8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63,8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62,6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58,8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65,3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82,5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83,7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507567,1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562400,0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575141,6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570000,0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570000,0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570000,0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34.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рублей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10401,5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10995,0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11811,8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12493,2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12449,2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12412,1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да/нет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37.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Удовлетворенность населения деятельностью местного самоуправления муниципального, городского округа (муниципального района)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процентов от числа опрошенных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53,1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38.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Среднегодовая численность постоянного населения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тыс. человек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19,440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18,888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18,944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19,000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19,058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19,115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1082,3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985,2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1595,5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1647,9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1666,4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1685,2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17,5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20,8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12,3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12,3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12,3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13,2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13,8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22,9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22,9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22,9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в многоквартирных домах: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проживающего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103,4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190,9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226,8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91,4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91,6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91,9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 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кВт/ч в час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382,3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465,8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566,4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544,0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547,1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550,3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40.2.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Гкал на 1 кв. метр общей площади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2,9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40.5.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куб. метров на 1 человека населения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14,2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3,4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      </w:r>
          </w:p>
        </w:tc>
        <w:tc>
          <w:tcPr>
            <w:tcW w:w="1674" w:type="dxa"/>
          </w:tcPr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41.1.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культуры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85,9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88,1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41.2.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охраны здоровья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41.3.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образования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87,4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85,2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41.4.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муниципальными организациями в сфере социального обслуживания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557F58">
        <w:tc>
          <w:tcPr>
            <w:tcW w:w="70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41.5.</w:t>
            </w:r>
          </w:p>
        </w:tc>
        <w:tc>
          <w:tcPr>
            <w:tcW w:w="4974" w:type="dxa"/>
          </w:tcPr>
          <w:p w:rsidR="00557F58" w:rsidRDefault="00130666">
            <w:pPr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Результаты независимой оценки качества условий оказания услуг иными муниципальными организациями</w:t>
            </w:r>
          </w:p>
        </w:tc>
        <w:tc>
          <w:tcPr>
            <w:tcW w:w="1674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баллов</w:t>
            </w:r>
          </w:p>
          <w:p w:rsidR="00557F58" w:rsidRDefault="00557F58">
            <w:pPr>
              <w:jc w:val="center"/>
              <w:rPr>
                <w:rFonts w:eastAsia="Calibri"/>
                <w:color w:val="0D0D0D" w:themeColor="text1" w:themeTint="F2"/>
              </w:rPr>
            </w:pPr>
          </w:p>
        </w:tc>
        <w:tc>
          <w:tcPr>
            <w:tcW w:w="97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05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5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</w:tr>
    </w:tbl>
    <w:p w:rsidR="00557F58" w:rsidRDefault="00557F58">
      <w:pPr>
        <w:widowControl w:val="0"/>
        <w:rPr>
          <w:color w:val="0D0D0D" w:themeColor="text1" w:themeTint="F2"/>
          <w:sz w:val="24"/>
          <w:szCs w:val="24"/>
        </w:rPr>
        <w:sectPr w:rsidR="00557F58">
          <w:headerReference w:type="first" r:id="rId8"/>
          <w:pgSz w:w="16838" w:h="11906" w:orient="landscape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val="en-US" w:eastAsia="en-US"/>
        </w:rPr>
        <w:lastRenderedPageBreak/>
        <w:t>III</w:t>
      </w:r>
      <w:r>
        <w:rPr>
          <w:color w:val="0D0D0D" w:themeColor="text1" w:themeTint="F2"/>
          <w:sz w:val="28"/>
          <w:szCs w:val="28"/>
          <w:lang w:eastAsia="en-US"/>
        </w:rPr>
        <w:t>. Общие сведения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На территории автономного округа образовано 13 муниципальных образований, наделенных статусом городских округов, и 9 муниципальных образований, наделенных статусом муниципальных районов.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Административным центром автономного округа является город Ханты-Мансийск.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 среднегодовая численность постоянного населения в автономном округе составила 1 744,9 тыс. человек (2022 год – 1 722,1). 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Таблица 23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Общие сведения о муниципальных образованиях автономного округа, наделенных статусом городских округов</w:t>
      </w:r>
    </w:p>
    <w:p w:rsidR="00557F58" w:rsidRDefault="00557F58">
      <w:pPr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Style w:val="aff6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94"/>
        <w:gridCol w:w="2737"/>
        <w:gridCol w:w="1175"/>
        <w:gridCol w:w="1329"/>
        <w:gridCol w:w="3316"/>
      </w:tblGrid>
      <w:tr w:rsidR="00557F58">
        <w:tc>
          <w:tcPr>
            <w:tcW w:w="794" w:type="dxa"/>
            <w:vMerge w:val="restart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37" w:type="dxa"/>
            <w:vMerge w:val="restart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Наименование городского округа</w:t>
            </w:r>
          </w:p>
        </w:tc>
        <w:tc>
          <w:tcPr>
            <w:tcW w:w="2504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Среднегодовая численность постоянного населения в отчетном году, тыс. человек</w:t>
            </w:r>
          </w:p>
        </w:tc>
        <w:tc>
          <w:tcPr>
            <w:tcW w:w="3316" w:type="dxa"/>
            <w:vMerge w:val="restart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Информация о размещении доклада главы в сети Интернет (адрес официального сайта муниципального образования)</w:t>
            </w:r>
          </w:p>
        </w:tc>
      </w:tr>
      <w:tr w:rsidR="00557F58">
        <w:tc>
          <w:tcPr>
            <w:tcW w:w="794" w:type="dxa"/>
            <w:vMerge/>
          </w:tcPr>
          <w:p w:rsidR="00557F58" w:rsidRDefault="00557F58">
            <w:pPr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  <w:vMerge/>
          </w:tcPr>
          <w:p w:rsidR="00557F58" w:rsidRDefault="00557F58">
            <w:pPr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175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3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3316" w:type="dxa"/>
            <w:vMerge/>
          </w:tcPr>
          <w:p w:rsidR="00557F58" w:rsidRDefault="00557F58">
            <w:pPr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557F58">
        <w:tc>
          <w:tcPr>
            <w:tcW w:w="794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37" w:type="dxa"/>
          </w:tcPr>
          <w:p w:rsidR="00557F58" w:rsidRDefault="00130666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Когалым</w:t>
            </w:r>
          </w:p>
        </w:tc>
        <w:tc>
          <w:tcPr>
            <w:tcW w:w="1175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62,2</w:t>
            </w:r>
          </w:p>
        </w:tc>
        <w:tc>
          <w:tcPr>
            <w:tcW w:w="13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63,2</w:t>
            </w:r>
          </w:p>
        </w:tc>
        <w:tc>
          <w:tcPr>
            <w:tcW w:w="3316" w:type="dxa"/>
          </w:tcPr>
          <w:p w:rsidR="00557F58" w:rsidRDefault="000654B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9" w:tooltip="http://www.admkogalym.ru/" w:history="1">
              <w:r w:rsidR="00130666"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 xml:space="preserve">http://www.admkogalym.ru/ </w:t>
              </w:r>
            </w:hyperlink>
          </w:p>
        </w:tc>
      </w:tr>
      <w:tr w:rsidR="00557F58">
        <w:tc>
          <w:tcPr>
            <w:tcW w:w="794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37" w:type="dxa"/>
          </w:tcPr>
          <w:p w:rsidR="00557F58" w:rsidRDefault="00130666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Лангепас</w:t>
            </w:r>
          </w:p>
        </w:tc>
        <w:tc>
          <w:tcPr>
            <w:tcW w:w="1175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43,1</w:t>
            </w:r>
          </w:p>
        </w:tc>
        <w:tc>
          <w:tcPr>
            <w:tcW w:w="13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43,8</w:t>
            </w:r>
          </w:p>
        </w:tc>
        <w:tc>
          <w:tcPr>
            <w:tcW w:w="3316" w:type="dxa"/>
          </w:tcPr>
          <w:p w:rsidR="00557F58" w:rsidRDefault="000654B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0" w:tooltip="http://www.admlangepas.ru/" w:history="1">
              <w:r w:rsidR="00130666"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 xml:space="preserve">http://www.admlangepas.ru   </w:t>
              </w:r>
            </w:hyperlink>
          </w:p>
        </w:tc>
      </w:tr>
      <w:tr w:rsidR="00557F58">
        <w:tc>
          <w:tcPr>
            <w:tcW w:w="794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37" w:type="dxa"/>
          </w:tcPr>
          <w:p w:rsidR="00557F58" w:rsidRDefault="00130666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Мегион</w:t>
            </w:r>
          </w:p>
        </w:tc>
        <w:tc>
          <w:tcPr>
            <w:tcW w:w="1175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59,3</w:t>
            </w:r>
          </w:p>
        </w:tc>
        <w:tc>
          <w:tcPr>
            <w:tcW w:w="13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59,4</w:t>
            </w:r>
          </w:p>
        </w:tc>
        <w:tc>
          <w:tcPr>
            <w:tcW w:w="3316" w:type="dxa"/>
          </w:tcPr>
          <w:p w:rsidR="00557F58" w:rsidRDefault="000654B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1" w:tooltip="http://www.admmegion.ru/" w:history="1">
              <w:r w:rsidR="00130666"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 xml:space="preserve">http://www.admmegion.ru     </w:t>
              </w:r>
            </w:hyperlink>
          </w:p>
        </w:tc>
      </w:tr>
      <w:tr w:rsidR="00557F58">
        <w:tc>
          <w:tcPr>
            <w:tcW w:w="794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37" w:type="dxa"/>
          </w:tcPr>
          <w:p w:rsidR="00557F58" w:rsidRDefault="00130666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Нефтеюганск</w:t>
            </w:r>
          </w:p>
        </w:tc>
        <w:tc>
          <w:tcPr>
            <w:tcW w:w="1175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124,8</w:t>
            </w:r>
          </w:p>
        </w:tc>
        <w:tc>
          <w:tcPr>
            <w:tcW w:w="13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125,8</w:t>
            </w:r>
          </w:p>
        </w:tc>
        <w:tc>
          <w:tcPr>
            <w:tcW w:w="3316" w:type="dxa"/>
          </w:tcPr>
          <w:p w:rsidR="00557F58" w:rsidRDefault="000654B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2" w:tooltip="http://admugansk.ru/" w:history="1">
              <w:r w:rsidR="00130666"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 xml:space="preserve">http://admugansk.ru          </w:t>
              </w:r>
            </w:hyperlink>
          </w:p>
        </w:tc>
      </w:tr>
      <w:tr w:rsidR="00557F58">
        <w:tc>
          <w:tcPr>
            <w:tcW w:w="794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37" w:type="dxa"/>
          </w:tcPr>
          <w:p w:rsidR="00557F58" w:rsidRDefault="00130666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Нижневартовск</w:t>
            </w:r>
          </w:p>
        </w:tc>
        <w:tc>
          <w:tcPr>
            <w:tcW w:w="1175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285,2</w:t>
            </w:r>
          </w:p>
        </w:tc>
        <w:tc>
          <w:tcPr>
            <w:tcW w:w="13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288,8</w:t>
            </w:r>
          </w:p>
        </w:tc>
        <w:tc>
          <w:tcPr>
            <w:tcW w:w="3316" w:type="dxa"/>
          </w:tcPr>
          <w:p w:rsidR="00557F58" w:rsidRDefault="000654B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3" w:tooltip="http://www.n-vartovsk.ru/" w:history="1">
              <w:r w:rsidR="00130666"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 xml:space="preserve">http://www.n-vartovsk.ru    </w:t>
              </w:r>
            </w:hyperlink>
          </w:p>
        </w:tc>
      </w:tr>
      <w:tr w:rsidR="00557F58">
        <w:tc>
          <w:tcPr>
            <w:tcW w:w="794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37" w:type="dxa"/>
          </w:tcPr>
          <w:p w:rsidR="00557F58" w:rsidRDefault="00130666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Нягань</w:t>
            </w:r>
          </w:p>
        </w:tc>
        <w:tc>
          <w:tcPr>
            <w:tcW w:w="1175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3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63,3</w:t>
            </w:r>
          </w:p>
        </w:tc>
        <w:tc>
          <w:tcPr>
            <w:tcW w:w="3316" w:type="dxa"/>
          </w:tcPr>
          <w:p w:rsidR="00557F58" w:rsidRDefault="000654B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4" w:tooltip="http://www.admnyagan.ru/" w:history="1">
              <w:r w:rsidR="00130666"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 xml:space="preserve">http://www.admnyagan.ru       </w:t>
              </w:r>
            </w:hyperlink>
          </w:p>
        </w:tc>
      </w:tr>
      <w:tr w:rsidR="00557F58">
        <w:tc>
          <w:tcPr>
            <w:tcW w:w="794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37" w:type="dxa"/>
          </w:tcPr>
          <w:p w:rsidR="00557F58" w:rsidRDefault="00130666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Покачи</w:t>
            </w:r>
          </w:p>
        </w:tc>
        <w:tc>
          <w:tcPr>
            <w:tcW w:w="1175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16,1</w:t>
            </w:r>
          </w:p>
        </w:tc>
        <w:tc>
          <w:tcPr>
            <w:tcW w:w="13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16,4</w:t>
            </w:r>
          </w:p>
        </w:tc>
        <w:tc>
          <w:tcPr>
            <w:tcW w:w="3316" w:type="dxa"/>
          </w:tcPr>
          <w:p w:rsidR="00557F58" w:rsidRDefault="000654B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5" w:tooltip="http://www.admpokachi.ru/" w:history="1">
              <w:r w:rsidR="00130666"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http://www.admpokachi.ru</w:t>
              </w:r>
            </w:hyperlink>
          </w:p>
        </w:tc>
      </w:tr>
      <w:tr w:rsidR="00557F58">
        <w:tc>
          <w:tcPr>
            <w:tcW w:w="794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37" w:type="dxa"/>
          </w:tcPr>
          <w:p w:rsidR="00557F58" w:rsidRDefault="00130666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Пыть-Ях</w:t>
            </w:r>
          </w:p>
        </w:tc>
        <w:tc>
          <w:tcPr>
            <w:tcW w:w="1175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13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40,4</w:t>
            </w:r>
          </w:p>
        </w:tc>
        <w:tc>
          <w:tcPr>
            <w:tcW w:w="3316" w:type="dxa"/>
          </w:tcPr>
          <w:p w:rsidR="00557F58" w:rsidRDefault="000654B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6" w:tooltip="http://www.pyadm.ru/" w:history="1">
              <w:r w:rsidR="00130666"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http://www.pyadm.ru</w:t>
              </w:r>
            </w:hyperlink>
          </w:p>
        </w:tc>
      </w:tr>
      <w:tr w:rsidR="00557F58">
        <w:tc>
          <w:tcPr>
            <w:tcW w:w="794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37" w:type="dxa"/>
          </w:tcPr>
          <w:p w:rsidR="00557F58" w:rsidRDefault="00130666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Радужный</w:t>
            </w:r>
          </w:p>
        </w:tc>
        <w:tc>
          <w:tcPr>
            <w:tcW w:w="1175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44,2</w:t>
            </w:r>
          </w:p>
        </w:tc>
        <w:tc>
          <w:tcPr>
            <w:tcW w:w="13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45,1</w:t>
            </w:r>
          </w:p>
        </w:tc>
        <w:tc>
          <w:tcPr>
            <w:tcW w:w="3316" w:type="dxa"/>
          </w:tcPr>
          <w:p w:rsidR="00557F58" w:rsidRDefault="000654B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7" w:tooltip="http://www.admrad.ru/" w:history="1">
              <w:r w:rsidR="00130666"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http://www.admrad.ru</w:t>
              </w:r>
            </w:hyperlink>
          </w:p>
        </w:tc>
      </w:tr>
      <w:tr w:rsidR="00557F58">
        <w:tc>
          <w:tcPr>
            <w:tcW w:w="794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37" w:type="dxa"/>
          </w:tcPr>
          <w:p w:rsidR="00557F58" w:rsidRDefault="00130666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Сургут</w:t>
            </w:r>
          </w:p>
        </w:tc>
        <w:tc>
          <w:tcPr>
            <w:tcW w:w="1175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402,7</w:t>
            </w:r>
          </w:p>
        </w:tc>
        <w:tc>
          <w:tcPr>
            <w:tcW w:w="13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413,6</w:t>
            </w:r>
          </w:p>
        </w:tc>
        <w:tc>
          <w:tcPr>
            <w:tcW w:w="3316" w:type="dxa"/>
          </w:tcPr>
          <w:p w:rsidR="00557F58" w:rsidRDefault="000654B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8" w:tooltip="http://www.admsurgut.ru/" w:history="1">
              <w:r w:rsidR="00130666"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http://www.admsurgut.ru</w:t>
              </w:r>
            </w:hyperlink>
          </w:p>
        </w:tc>
      </w:tr>
      <w:tr w:rsidR="00557F58">
        <w:tc>
          <w:tcPr>
            <w:tcW w:w="794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37" w:type="dxa"/>
          </w:tcPr>
          <w:p w:rsidR="00557F58" w:rsidRDefault="00130666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Урай</w:t>
            </w:r>
          </w:p>
        </w:tc>
        <w:tc>
          <w:tcPr>
            <w:tcW w:w="1175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13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41,2</w:t>
            </w:r>
          </w:p>
        </w:tc>
        <w:tc>
          <w:tcPr>
            <w:tcW w:w="3316" w:type="dxa"/>
          </w:tcPr>
          <w:p w:rsidR="00557F58" w:rsidRDefault="000654B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19" w:tooltip="http://www.uray.ru/" w:history="1">
              <w:r w:rsidR="00130666"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http://www.uray.ru/</w:t>
              </w:r>
            </w:hyperlink>
          </w:p>
        </w:tc>
      </w:tr>
      <w:tr w:rsidR="00557F58">
        <w:tc>
          <w:tcPr>
            <w:tcW w:w="794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37" w:type="dxa"/>
          </w:tcPr>
          <w:p w:rsidR="00557F58" w:rsidRDefault="00130666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Ханты-Мансийск</w:t>
            </w:r>
          </w:p>
        </w:tc>
        <w:tc>
          <w:tcPr>
            <w:tcW w:w="1175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109,2</w:t>
            </w:r>
          </w:p>
        </w:tc>
        <w:tc>
          <w:tcPr>
            <w:tcW w:w="13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110,8</w:t>
            </w:r>
          </w:p>
        </w:tc>
        <w:tc>
          <w:tcPr>
            <w:tcW w:w="3316" w:type="dxa"/>
          </w:tcPr>
          <w:p w:rsidR="00557F58" w:rsidRDefault="000654B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20" w:tooltip="http://www.admhmansy.ru/" w:history="1">
              <w:r w:rsidR="00130666"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http://www.admhmansy.ru</w:t>
              </w:r>
            </w:hyperlink>
          </w:p>
        </w:tc>
      </w:tr>
      <w:tr w:rsidR="00557F58">
        <w:tc>
          <w:tcPr>
            <w:tcW w:w="794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37" w:type="dxa"/>
          </w:tcPr>
          <w:p w:rsidR="00557F58" w:rsidRDefault="00130666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Югорск</w:t>
            </w:r>
          </w:p>
        </w:tc>
        <w:tc>
          <w:tcPr>
            <w:tcW w:w="1175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13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38,9</w:t>
            </w:r>
          </w:p>
        </w:tc>
        <w:tc>
          <w:tcPr>
            <w:tcW w:w="3316" w:type="dxa"/>
          </w:tcPr>
          <w:p w:rsidR="00557F58" w:rsidRDefault="000654B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hyperlink r:id="rId21" w:tooltip="http://www.ugorsk.ru/" w:history="1">
              <w:r w:rsidR="00130666">
                <w:rPr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http://www.ugorsk.ru/</w:t>
              </w:r>
            </w:hyperlink>
          </w:p>
        </w:tc>
      </w:tr>
    </w:tbl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Таблица 24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Общие сведения о муниципальных образованиях автономного округа, наделенных статусом муниципальных районов</w:t>
      </w:r>
    </w:p>
    <w:p w:rsidR="00557F58" w:rsidRDefault="00557F58">
      <w:pPr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Style w:val="aff6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68"/>
        <w:gridCol w:w="2798"/>
        <w:gridCol w:w="1229"/>
        <w:gridCol w:w="1272"/>
        <w:gridCol w:w="3284"/>
      </w:tblGrid>
      <w:tr w:rsidR="00557F58">
        <w:tc>
          <w:tcPr>
            <w:tcW w:w="768" w:type="dxa"/>
            <w:vMerge w:val="restart"/>
          </w:tcPr>
          <w:p w:rsidR="00557F58" w:rsidRDefault="0013066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98" w:type="dxa"/>
            <w:vMerge w:val="restart"/>
          </w:tcPr>
          <w:p w:rsidR="00557F58" w:rsidRDefault="0013066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Наименование муниципального района</w:t>
            </w:r>
          </w:p>
        </w:tc>
        <w:tc>
          <w:tcPr>
            <w:tcW w:w="2501" w:type="dxa"/>
            <w:gridSpan w:val="2"/>
          </w:tcPr>
          <w:p w:rsidR="00557F58" w:rsidRDefault="0013066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Среднегодовая численность постоянного населения в отчетном году, тыс. человек</w:t>
            </w:r>
          </w:p>
        </w:tc>
        <w:tc>
          <w:tcPr>
            <w:tcW w:w="3284" w:type="dxa"/>
            <w:vMerge w:val="restart"/>
          </w:tcPr>
          <w:p w:rsidR="00557F58" w:rsidRDefault="0013066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Информация о размещении доклада главы в сети Интернет (адрес официального сайта муниципального образования)</w:t>
            </w:r>
          </w:p>
        </w:tc>
      </w:tr>
      <w:tr w:rsidR="00557F58">
        <w:tc>
          <w:tcPr>
            <w:tcW w:w="768" w:type="dxa"/>
            <w:vMerge/>
          </w:tcPr>
          <w:p w:rsidR="00557F58" w:rsidRDefault="00557F58">
            <w:pPr>
              <w:jc w:val="center"/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  <w:vMerge/>
          </w:tcPr>
          <w:p w:rsidR="00557F58" w:rsidRDefault="00557F58">
            <w:pP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</w:tcPr>
          <w:p w:rsidR="00557F58" w:rsidRDefault="0013066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2" w:type="dxa"/>
          </w:tcPr>
          <w:p w:rsidR="00557F58" w:rsidRDefault="0013066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3284" w:type="dxa"/>
            <w:vMerge/>
          </w:tcPr>
          <w:p w:rsidR="00557F58" w:rsidRDefault="00557F58">
            <w:pP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557F58">
        <w:tc>
          <w:tcPr>
            <w:tcW w:w="768" w:type="dxa"/>
          </w:tcPr>
          <w:p w:rsidR="00557F58" w:rsidRDefault="0013066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8" w:type="dxa"/>
          </w:tcPr>
          <w:p w:rsidR="00557F58" w:rsidRDefault="00130666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Белоярский </w:t>
            </w:r>
          </w:p>
        </w:tc>
        <w:tc>
          <w:tcPr>
            <w:tcW w:w="12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1272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28,6</w:t>
            </w:r>
          </w:p>
        </w:tc>
        <w:tc>
          <w:tcPr>
            <w:tcW w:w="3284" w:type="dxa"/>
          </w:tcPr>
          <w:p w:rsidR="00557F58" w:rsidRDefault="000654B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22" w:tooltip="http://www.admbel.ru/" w:history="1">
              <w:r w:rsidR="00130666"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www.admbel.ru</w:t>
              </w:r>
            </w:hyperlink>
          </w:p>
        </w:tc>
      </w:tr>
      <w:tr w:rsidR="00557F58">
        <w:tc>
          <w:tcPr>
            <w:tcW w:w="768" w:type="dxa"/>
          </w:tcPr>
          <w:p w:rsidR="00557F58" w:rsidRDefault="0013066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8" w:type="dxa"/>
          </w:tcPr>
          <w:p w:rsidR="00557F58" w:rsidRDefault="00130666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Березовский </w:t>
            </w:r>
          </w:p>
        </w:tc>
        <w:tc>
          <w:tcPr>
            <w:tcW w:w="12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1272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22,8</w:t>
            </w:r>
          </w:p>
        </w:tc>
        <w:tc>
          <w:tcPr>
            <w:tcW w:w="3284" w:type="dxa"/>
          </w:tcPr>
          <w:p w:rsidR="00557F58" w:rsidRDefault="000654B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23" w:tooltip="http://www.mrberezovo.ru/" w:history="1">
              <w:r w:rsidR="00130666"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www.mrberezovo.ru</w:t>
              </w:r>
            </w:hyperlink>
          </w:p>
        </w:tc>
      </w:tr>
      <w:tr w:rsidR="00557F58">
        <w:tc>
          <w:tcPr>
            <w:tcW w:w="768" w:type="dxa"/>
          </w:tcPr>
          <w:p w:rsidR="00557F58" w:rsidRDefault="0013066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8" w:type="dxa"/>
          </w:tcPr>
          <w:p w:rsidR="00557F58" w:rsidRDefault="00130666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Кондинский </w:t>
            </w:r>
          </w:p>
        </w:tc>
        <w:tc>
          <w:tcPr>
            <w:tcW w:w="12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272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30,4</w:t>
            </w:r>
          </w:p>
        </w:tc>
        <w:tc>
          <w:tcPr>
            <w:tcW w:w="3284" w:type="dxa"/>
          </w:tcPr>
          <w:p w:rsidR="00557F58" w:rsidRDefault="000654B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24" w:tooltip="http://www.admkonda.ru/" w:history="1">
              <w:r w:rsidR="00130666"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http://www.admkonda.ru/</w:t>
              </w:r>
            </w:hyperlink>
          </w:p>
        </w:tc>
      </w:tr>
      <w:tr w:rsidR="00557F58">
        <w:tc>
          <w:tcPr>
            <w:tcW w:w="768" w:type="dxa"/>
          </w:tcPr>
          <w:p w:rsidR="00557F58" w:rsidRDefault="0013066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798" w:type="dxa"/>
          </w:tcPr>
          <w:p w:rsidR="00557F58" w:rsidRDefault="00130666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Нефтеюганский </w:t>
            </w:r>
          </w:p>
        </w:tc>
        <w:tc>
          <w:tcPr>
            <w:tcW w:w="12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46,9</w:t>
            </w:r>
          </w:p>
        </w:tc>
        <w:tc>
          <w:tcPr>
            <w:tcW w:w="1272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47,3</w:t>
            </w:r>
          </w:p>
        </w:tc>
        <w:tc>
          <w:tcPr>
            <w:tcW w:w="3284" w:type="dxa"/>
          </w:tcPr>
          <w:p w:rsidR="00557F58" w:rsidRDefault="000654B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25" w:tooltip="http://www.admoil.ru/" w:history="1">
              <w:r w:rsidR="00130666"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http://www.admoil.ru/</w:t>
              </w:r>
            </w:hyperlink>
          </w:p>
        </w:tc>
      </w:tr>
      <w:tr w:rsidR="00557F58">
        <w:tc>
          <w:tcPr>
            <w:tcW w:w="768" w:type="dxa"/>
          </w:tcPr>
          <w:p w:rsidR="00557F58" w:rsidRDefault="0013066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8" w:type="dxa"/>
          </w:tcPr>
          <w:p w:rsidR="00557F58" w:rsidRDefault="00130666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Нижневартовский </w:t>
            </w:r>
          </w:p>
        </w:tc>
        <w:tc>
          <w:tcPr>
            <w:tcW w:w="12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1272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38,6</w:t>
            </w:r>
          </w:p>
        </w:tc>
        <w:tc>
          <w:tcPr>
            <w:tcW w:w="3284" w:type="dxa"/>
          </w:tcPr>
          <w:p w:rsidR="00557F58" w:rsidRDefault="000654B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26" w:tooltip="http://www.nvraion.ru/" w:history="1">
              <w:r w:rsidR="00130666"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http://www.nvraion.ru</w:t>
              </w:r>
            </w:hyperlink>
          </w:p>
        </w:tc>
      </w:tr>
      <w:tr w:rsidR="00557F58">
        <w:tc>
          <w:tcPr>
            <w:tcW w:w="768" w:type="dxa"/>
          </w:tcPr>
          <w:p w:rsidR="00557F58" w:rsidRDefault="0013066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98" w:type="dxa"/>
          </w:tcPr>
          <w:p w:rsidR="00557F58" w:rsidRDefault="00130666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Октябрьский </w:t>
            </w:r>
          </w:p>
        </w:tc>
        <w:tc>
          <w:tcPr>
            <w:tcW w:w="12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32,3</w:t>
            </w:r>
          </w:p>
        </w:tc>
        <w:tc>
          <w:tcPr>
            <w:tcW w:w="1272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32,1</w:t>
            </w:r>
          </w:p>
        </w:tc>
        <w:tc>
          <w:tcPr>
            <w:tcW w:w="3284" w:type="dxa"/>
          </w:tcPr>
          <w:p w:rsidR="00557F58" w:rsidRDefault="000654B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27" w:tooltip="http://www.oktregion.ru/" w:history="1">
              <w:r w:rsidR="00130666"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http://www.oktregion.ru</w:t>
              </w:r>
            </w:hyperlink>
          </w:p>
        </w:tc>
      </w:tr>
      <w:tr w:rsidR="00557F58">
        <w:tc>
          <w:tcPr>
            <w:tcW w:w="768" w:type="dxa"/>
          </w:tcPr>
          <w:p w:rsidR="00557F58" w:rsidRDefault="0013066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98" w:type="dxa"/>
          </w:tcPr>
          <w:p w:rsidR="00557F58" w:rsidRDefault="00130666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Советский </w:t>
            </w:r>
          </w:p>
        </w:tc>
        <w:tc>
          <w:tcPr>
            <w:tcW w:w="12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46,7</w:t>
            </w:r>
          </w:p>
        </w:tc>
        <w:tc>
          <w:tcPr>
            <w:tcW w:w="1272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46,5</w:t>
            </w:r>
          </w:p>
        </w:tc>
        <w:tc>
          <w:tcPr>
            <w:tcW w:w="3284" w:type="dxa"/>
          </w:tcPr>
          <w:p w:rsidR="00557F58" w:rsidRDefault="000654B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28" w:tooltip="http://www.admsov.ru/" w:history="1">
              <w:r w:rsidR="00130666"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 xml:space="preserve">http://www.admsov.ru/ </w:t>
              </w:r>
            </w:hyperlink>
          </w:p>
        </w:tc>
      </w:tr>
      <w:tr w:rsidR="00557F58">
        <w:tc>
          <w:tcPr>
            <w:tcW w:w="768" w:type="dxa"/>
          </w:tcPr>
          <w:p w:rsidR="00557F58" w:rsidRDefault="0013066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98" w:type="dxa"/>
          </w:tcPr>
          <w:p w:rsidR="00557F58" w:rsidRDefault="00130666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Сургутский </w:t>
            </w:r>
          </w:p>
        </w:tc>
        <w:tc>
          <w:tcPr>
            <w:tcW w:w="12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127,1</w:t>
            </w:r>
          </w:p>
        </w:tc>
        <w:tc>
          <w:tcPr>
            <w:tcW w:w="1272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128,8</w:t>
            </w:r>
          </w:p>
        </w:tc>
        <w:tc>
          <w:tcPr>
            <w:tcW w:w="3284" w:type="dxa"/>
          </w:tcPr>
          <w:p w:rsidR="00557F58" w:rsidRDefault="000654B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29" w:tooltip="http://www.admsr.ru/" w:history="1">
              <w:r w:rsidR="00130666"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http://www.admsr.ru</w:t>
              </w:r>
            </w:hyperlink>
          </w:p>
        </w:tc>
      </w:tr>
      <w:tr w:rsidR="00557F58">
        <w:tc>
          <w:tcPr>
            <w:tcW w:w="768" w:type="dxa"/>
          </w:tcPr>
          <w:p w:rsidR="00557F58" w:rsidRDefault="0013066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98" w:type="dxa"/>
          </w:tcPr>
          <w:p w:rsidR="00557F58" w:rsidRDefault="00130666">
            <w:pPr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Cs/>
                <w:color w:val="0D0D0D" w:themeColor="text1" w:themeTint="F2"/>
                <w:sz w:val="24"/>
                <w:szCs w:val="24"/>
                <w:lang w:eastAsia="en-US"/>
              </w:rPr>
              <w:t xml:space="preserve">Ханты-Мансийский </w:t>
            </w:r>
          </w:p>
        </w:tc>
        <w:tc>
          <w:tcPr>
            <w:tcW w:w="1229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272" w:type="dxa"/>
          </w:tcPr>
          <w:p w:rsidR="00557F58" w:rsidRDefault="00130666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18,9</w:t>
            </w:r>
          </w:p>
        </w:tc>
        <w:tc>
          <w:tcPr>
            <w:tcW w:w="3284" w:type="dxa"/>
          </w:tcPr>
          <w:p w:rsidR="00557F58" w:rsidRDefault="000654B6">
            <w:pPr>
              <w:jc w:val="center"/>
              <w:outlineLvl w:val="0"/>
              <w:rPr>
                <w:bCs/>
                <w:color w:val="0D0D0D" w:themeColor="text1" w:themeTint="F2"/>
                <w:sz w:val="24"/>
                <w:szCs w:val="24"/>
              </w:rPr>
            </w:pPr>
            <w:hyperlink r:id="rId30" w:tooltip="http://www.hmrn.ru/" w:history="1">
              <w:r w:rsidR="00130666">
                <w:rPr>
                  <w:bCs/>
                  <w:color w:val="0D0D0D" w:themeColor="text1" w:themeTint="F2"/>
                  <w:sz w:val="24"/>
                  <w:szCs w:val="24"/>
                  <w:u w:val="single"/>
                  <w:lang w:eastAsia="en-US"/>
                </w:rPr>
                <w:t>http://www.hmrn.ru/</w:t>
              </w:r>
            </w:hyperlink>
          </w:p>
        </w:tc>
      </w:tr>
    </w:tbl>
    <w:p w:rsidR="00557F58" w:rsidRDefault="00557F58">
      <w:pPr>
        <w:jc w:val="center"/>
        <w:outlineLvl w:val="0"/>
        <w:rPr>
          <w:bCs/>
          <w:color w:val="0D0D0D" w:themeColor="text1" w:themeTint="F2"/>
          <w:sz w:val="24"/>
          <w:szCs w:val="24"/>
        </w:rPr>
      </w:pP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Перечень нормативных правовых актов, регламентирующих оценку эффективности деятельности органов </w:t>
      </w:r>
      <w:r>
        <w:rPr>
          <w:color w:val="0D0D0D" w:themeColor="text1" w:themeTint="F2"/>
          <w:sz w:val="28"/>
          <w:szCs w:val="28"/>
          <w:lang w:eastAsia="en-US"/>
        </w:rPr>
        <w:t xml:space="preserve">местного самоуправления </w:t>
      </w: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городских округов и муниципальных районов автономного округа 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1. Указ Президента Российской Федерации от 28 апреля 2008 года № 607 «Об оценке эффективности деятельности органов местного самоуправления муниципальных, городских округов и муниципальных районов».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2. Постановление Правительства Российской Федерации </w:t>
      </w:r>
      <w:r>
        <w:rPr>
          <w:color w:val="0D0D0D" w:themeColor="text1" w:themeTint="F2"/>
          <w:sz w:val="28"/>
          <w:szCs w:val="28"/>
          <w:lang w:eastAsia="en-US"/>
        </w:rPr>
        <w:br/>
        <w:t>от 17 декабря 2012 года № 1317 «О мерах по реализации Указа Президента Российской Федерации от 28 апреля 2008 года 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3. Распоряжение Правительства автономного округа от 15 марта 2013 года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Югры».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val="en-US" w:eastAsia="en-US"/>
        </w:rPr>
        <w:t>IV</w:t>
      </w:r>
      <w:r>
        <w:rPr>
          <w:color w:val="0D0D0D" w:themeColor="text1" w:themeTint="F2"/>
          <w:sz w:val="28"/>
          <w:szCs w:val="28"/>
          <w:lang w:eastAsia="en-US"/>
        </w:rPr>
        <w:t xml:space="preserve">. Результаты мониторинга эффективности деятельности органов местного самоуправления городских округов и муниципальных районов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за 2023 год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4.1. Число субъектов малого и среднего </w:t>
      </w:r>
      <w:r>
        <w:rPr>
          <w:bCs/>
          <w:color w:val="0D0D0D" w:themeColor="text1" w:themeTint="F2"/>
          <w:sz w:val="28"/>
          <w:szCs w:val="28"/>
        </w:rPr>
        <w:t xml:space="preserve">предпринимательства 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в расчете на 10 тыс. человек населения</w:t>
      </w:r>
    </w:p>
    <w:p w:rsidR="00557F58" w:rsidRDefault="00557F58">
      <w:pPr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17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6).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Учитывая высокий объем показателя и темп роста его значения, </w:t>
      </w:r>
      <w:r>
        <w:rPr>
          <w:color w:val="0D0D0D" w:themeColor="text1" w:themeTint="F2"/>
          <w:sz w:val="28"/>
          <w:szCs w:val="28"/>
          <w:lang w:eastAsia="en-US"/>
        </w:rPr>
        <w:br/>
        <w:t xml:space="preserve">1-е место занял Сургут – 470,0 единиц на 10 тыс. человек населения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455,1).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наименьшего значения показателя и его отрицательной динамики в 2022, 2023 годах последнее место занял Белоярский район – 201,8 единицы на 10 тыс. человек населения (2022 год – 202,6).</w:t>
      </w: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25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Распределение мест между муниципальными образованиями 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по показателю «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число субъектов малого и среднего </w:t>
      </w:r>
      <w:r>
        <w:rPr>
          <w:bCs/>
          <w:color w:val="0D0D0D" w:themeColor="text1" w:themeTint="F2"/>
          <w:sz w:val="28"/>
          <w:szCs w:val="28"/>
        </w:rPr>
        <w:t xml:space="preserve">предпринимательства 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в расчете на 10 тыс. человек населения»</w:t>
      </w:r>
    </w:p>
    <w:p w:rsidR="00557F58" w:rsidRDefault="00557F58">
      <w:pPr>
        <w:jc w:val="center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8"/>
        <w:gridCol w:w="1357"/>
        <w:gridCol w:w="634"/>
        <w:gridCol w:w="1321"/>
        <w:gridCol w:w="634"/>
        <w:gridCol w:w="1321"/>
        <w:gridCol w:w="634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40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0,6886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0,8132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0,4221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0,7688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0,6098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0,7760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0,7095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0,6359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0,6608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0,6509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0,7779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0,5594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0,6468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0,5426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0,6866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0,6290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0,2678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0,8467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0,6151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0,9111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0,5466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0,9456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0,2761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0,5439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0,4186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0,5699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0,5094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0,0133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0,8063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0,4891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0,1168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0,6844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0,4574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0,3977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0,4683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0,4401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0,0307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0,6774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0,4188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trHeight w:val="190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0,1936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0,5353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0,3987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0,5808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0,3845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0,0814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0,5116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0,3395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0,1012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0,4795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0,3282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0,0725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0,4962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0,3267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0,3639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0,1456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0,1288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0,0578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0,0862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0,0254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0,0529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0,0419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rPr>
          <w:bCs/>
          <w:color w:val="0D0D0D" w:themeColor="text1" w:themeTint="F2"/>
          <w:sz w:val="24"/>
          <w:szCs w:val="24"/>
        </w:rPr>
      </w:pP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4.2.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всех предприятий и организаций</w:t>
      </w:r>
    </w:p>
    <w:p w:rsidR="00557F58" w:rsidRDefault="00557F58">
      <w:pPr>
        <w:jc w:val="center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13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15).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Учитывая наибольшее значение показателя и высокий темп его роста, в 2021 году 1-е место занял Ханты-Мансийск – 39,1 процента (2022 год – 37,3, 2020 год – 11,9).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низкого объема значения показателя и его отрицательной динамики последнее место занял Когалым – 11,4 процентов (2022 год – 12,5).</w:t>
      </w: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26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Распределение мест между муниципальными образованиями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</w:rPr>
        <w:t>по показателю «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доля среднесписочной численности работников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(без внешних совместителей) малых и средних предприятий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в среднесписочной численности работников (без внешних совместителей) всех предприятий и организаций</w:t>
      </w:r>
      <w:r>
        <w:rPr>
          <w:bCs/>
          <w:color w:val="0D0D0D" w:themeColor="text1" w:themeTint="F2"/>
          <w:sz w:val="28"/>
          <w:szCs w:val="28"/>
        </w:rPr>
        <w:t>»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8"/>
        <w:gridCol w:w="1357"/>
        <w:gridCol w:w="634"/>
        <w:gridCol w:w="1321"/>
        <w:gridCol w:w="634"/>
        <w:gridCol w:w="1321"/>
        <w:gridCol w:w="634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40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0,3626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0,6175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0,7231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0,4930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0,5851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0,5584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0,3138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0,4116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0,8043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0,1463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0,4095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0,8032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0,1241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0,3957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0,4897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0,2826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0,3654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0,8799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0,0195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0,3636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0,5938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0,1454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0,3248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0,6545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0,0946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0,3185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0,1041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0,4475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0,3102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0,3295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0,2215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0,2647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0,6144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0,0204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0,2580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0,5835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0,0286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0,2506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0,0778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0,3483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0,2401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0,1625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0,2738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0,2292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0,0904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0,2478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0,1848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0,2346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0,0711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0,1365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0,0137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0,2062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0,1292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0,1384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0,0724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0,0988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0,0343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0,1252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0,0888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0,1362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0,0545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4.3. Объем инвестиций в основной капитал (за исключением бюджетных средств) в расчете на 1 жителя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16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18).</w:t>
      </w:r>
    </w:p>
    <w:p w:rsidR="00557F58" w:rsidRDefault="00130666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связи с наибольшим темпом роста значения показателя в 2021-2022 годах 1-е место занял Покачи – 102,0 тыс. рублей (2022 год – 128,4, </w:t>
      </w:r>
      <w:r>
        <w:rPr>
          <w:color w:val="0D0D0D" w:themeColor="text1" w:themeTint="F2"/>
          <w:sz w:val="28"/>
          <w:szCs w:val="28"/>
          <w:lang w:eastAsia="en-US"/>
        </w:rPr>
        <w:br/>
        <w:t>2021 год – 46,1).</w:t>
      </w:r>
    </w:p>
    <w:p w:rsidR="00557F58" w:rsidRDefault="00130666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отрицательной динамики значения показателя в 2021-2022 годах и низкого объема его значения последнее место занял Сургут – 88,4 тыс. рублей (2022 год – 87,0, 2020 год – 142,7).</w:t>
      </w: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Таблица 27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Распределение мест между муниципальными образованиями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по показателю «объем инвестиций в основной капитал (за исключением бюджетных средств) в расчете на 1 жителя»</w:t>
      </w:r>
    </w:p>
    <w:p w:rsidR="00557F58" w:rsidRDefault="00557F58">
      <w:pPr>
        <w:jc w:val="both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tcBorders>
              <w:left w:val="single" w:sz="4" w:space="0" w:color="000000"/>
            </w:tcBorders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tcBorders>
              <w:right w:val="single" w:sz="4" w:space="0" w:color="000000"/>
            </w:tcBorders>
            <w:vAlign w:val="center"/>
          </w:tcPr>
          <w:p w:rsidR="00557F58" w:rsidRDefault="00557F58">
            <w:pPr>
              <w:contextualSpacing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557F58">
            <w:pPr>
              <w:contextualSpacing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000000"/>
            </w:tcBorders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</w:tcBorders>
            <w:noWrap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0,0057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0,6023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0,2586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0,5551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0,0045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0,5022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0,3031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0,0068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0,4742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0,2873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0,0238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0,4451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0,2766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0,3341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0,2280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0,2704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0,3827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0,1560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0,2467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0,1914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0,1813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0,1854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0,2978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0,1787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0,1565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0,1897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0,1764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0,0026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0,2841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0,1715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0,0055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0,2662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0,1619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0,0301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0,2473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0,0275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0,2436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0,1571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0,0415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0,1994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0,1362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0,0173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0,1209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0,0198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0,1696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0,1097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0,0455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0,1522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0,1095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0,0080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0,1039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0,0655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0,0245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0,0910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0,0644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0,0040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0,0411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0,0263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0,0067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0,0027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19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19).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темпом роста значения показателя 1-е место занял Сургутский район – 82,5 процента (2022 год – 47,5).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наименьшего объема и низкой динамики значения показателя последнее место занял Березовский район – 10,5 процента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10,4).</w:t>
      </w:r>
    </w:p>
    <w:p w:rsidR="00557F58" w:rsidRDefault="00557F58">
      <w:pPr>
        <w:ind w:firstLine="709"/>
        <w:jc w:val="both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8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28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 xml:space="preserve">по показателю «доля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(муниципального района)»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627"/>
        <w:gridCol w:w="1304"/>
        <w:gridCol w:w="683"/>
        <w:gridCol w:w="1304"/>
        <w:gridCol w:w="683"/>
        <w:gridCol w:w="1304"/>
        <w:gridCol w:w="683"/>
      </w:tblGrid>
      <w:tr w:rsidR="00557F58">
        <w:tc>
          <w:tcPr>
            <w:tcW w:w="408" w:type="dxa"/>
            <w:vMerge w:val="restart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c>
          <w:tcPr>
            <w:tcW w:w="408" w:type="dxa"/>
            <w:vMerge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0,5424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0,9022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0,7583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0,2054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0,6821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0,9609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0,2654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0,5436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0,9103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0,2531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0,5160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trHeight w:val="215"/>
        </w:trPr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0,9263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0,2239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0,5049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0,4963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0,4963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0,9989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0,4959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0,9561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0,1665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0,4824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0,8482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0,4356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0,5740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0,1811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0,3383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0,5666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0,1756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0,3320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0,8051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0,3220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0,3214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0,2935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0,3047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0,3456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0,1633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0,2362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0,1555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0,2886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0,2354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0,3058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0,1759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0,2278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0,2760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0,1802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0,2186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0,2355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0,2014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0,2150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0,2623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0,2012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0,2160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0,1299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0,1940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0,1164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4.5. Доля прибыльных сельскохозяйственных организаций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общем их числе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сельскохозяйственные организации осуществляли свою деятельность в 8 муниципальных образованиях (2022 год – 9). По итогам отчетного периода 8 организаций получили прибыль (2022 год – 6).</w:t>
      </w:r>
    </w:p>
    <w:p w:rsidR="00557F58" w:rsidRDefault="00557F58">
      <w:pPr>
        <w:ind w:firstLine="708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ind w:firstLine="708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29</w:t>
      </w:r>
    </w:p>
    <w:p w:rsidR="00557F58" w:rsidRDefault="00130666">
      <w:pPr>
        <w:ind w:firstLine="708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ind w:firstLine="708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«доля прибыльных сельскохозяйственных организаций в общем их числе»</w:t>
      </w:r>
    </w:p>
    <w:p w:rsidR="00557F58" w:rsidRDefault="00557F58">
      <w:pPr>
        <w:ind w:firstLine="708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0,2501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0,0511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0,4307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0,0511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0,4307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0,0511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0,4307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0,0644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0,3334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0,1667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0,0667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</w:tbl>
    <w:p w:rsidR="00557F58" w:rsidRDefault="00557F58">
      <w:pPr>
        <w:ind w:firstLine="708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местного значения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 автомобильные дороги общего пользования местного значения, не отвечающие нормативным требованиям, отсутствовали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в 3 муниципальных образованиях (2022 год – 4).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отрицательной динамики значения показателя последнее место занял Радужный – 10,0 процентов (2020-2022 годы – 0,0).</w:t>
      </w:r>
    </w:p>
    <w:p w:rsidR="00557F58" w:rsidRDefault="00557F58">
      <w:pPr>
        <w:ind w:firstLine="708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ind w:firstLine="708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30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протяженности автомобильных дорог 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общего пользования местного значения, не отвечающих нормативным требованиям, в общей протяженности автомобильных дорог 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общего пользования местного значения»</w:t>
      </w:r>
    </w:p>
    <w:p w:rsidR="00557F58" w:rsidRDefault="00557F58">
      <w:pPr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0,9649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0,9651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0,9872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0,9370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0,9571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0,8916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0,9123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0,9040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0,8725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0,9146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0,8978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0,8013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0,9005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0,8608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0,7598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0,9102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0,7024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0,8240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0,5760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0,9188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0,7817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0,5717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0,8760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0,7543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0,5664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0,8773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0,7530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0,4772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0,9006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0,7312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0,4378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0,8981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0,7140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0,7310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0,6542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0,4718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0,7449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0,6357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0,1753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0,8985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0,6092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0,2264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0,8595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0,6062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0,8824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0,5295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0,9167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0,2063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0,4905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0,8935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0,3574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4.7. Доля населения, проживающего в населенных пунктах, не имеющих регулярного автобусного и (или) железнодорожного сообщения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</w:r>
    </w:p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 населенные пункты, не имеющие регулярного автобусного и (или) железнодорожного сообщения с административным центром городского округа (муниципального района), были расположены </w:t>
      </w:r>
      <w:r>
        <w:rPr>
          <w:color w:val="0D0D0D" w:themeColor="text1" w:themeTint="F2"/>
          <w:sz w:val="28"/>
          <w:szCs w:val="28"/>
          <w:lang w:eastAsia="en-US"/>
        </w:rPr>
        <w:br/>
        <w:t>в 7 муниципальных образованиях (2022 год – 7).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Максимальное значение показателя – 100,0 процентов отмечено в Березовском районе, занявшем последнее место (2022 год – 100,0).</w:t>
      </w:r>
    </w:p>
    <w:p w:rsidR="00557F58" w:rsidRDefault="00557F58">
      <w:pPr>
        <w:ind w:firstLine="708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ind w:firstLine="708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31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населения, проживающего в населенных пунктах, 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района)»</w:t>
      </w:r>
    </w:p>
    <w:p w:rsidR="00557F58" w:rsidRDefault="00557F58">
      <w:pPr>
        <w:ind w:firstLine="708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0,4642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0,6765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0,9373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0,4710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0,9370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0,0255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0,3901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0,7543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0,0134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0,3098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0,4123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0,0081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0,1698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0,0028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0,0697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4.8. Среднемесячная номинальная начисленная заработная плата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4.8.1. Среднемесячная номинальная начисленная заработная плата работников крупных и средних предприятий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и некоммерческих организаций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22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22).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высоким темпом роста значения показателя 1-е место занял Мегион – 108,8 тыс. рублей (2022 год – 95,4).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низких объема и динамики значения показателя последнее место занял Березовский район – 108,5 тыс. рублей (2022 – 99,9).</w:t>
      </w:r>
    </w:p>
    <w:p w:rsidR="00557F58" w:rsidRDefault="00557F58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8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32.1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«среднемесячная номинальная начисленная заработная плата работников крупных и средних предприятий 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и некоммерческих организаций»</w:t>
      </w:r>
    </w:p>
    <w:p w:rsidR="00557F58" w:rsidRDefault="00557F58">
      <w:pPr>
        <w:ind w:firstLine="708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0,3554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0,7421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0,8753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0,7232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0,1279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0,9071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0,5954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0,1365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0,8294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0,5523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0,9795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0,2444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0,5384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0,6490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0,4440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0,5260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0,5292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0,5193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0,5233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0,1717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0,5030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0,8470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0,2698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0,5006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0,0921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0,7596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0,4926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0,8196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0,2679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0,4886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0,0554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0,7753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0,4873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0,5963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0,3386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0,4417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0,3015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0,5638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0,2343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0,3661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0,1911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0,4623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0,3538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0,3850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0,1027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0,4281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0,2979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0,3460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0,2076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0,2355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0,1708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0,1967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0,1270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0,2349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0,1917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0,4423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0,1769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4.8.2. Среднемесячная номинальная начисленная заработная плата работников муниципальных дошкольных образовательных учреждений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22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(2022 год – 22).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высокими объемом и темпом роста показателя 1-е место занял Нижневартовск – 76,0 тыс. рублей (2022 год – 65,5).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низких объема и динамики значения показателя последнее место занял Березовский район – 62,2 тыс. рублей (2022 год – 55,7).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32.2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«среднемесячная номинальная начисленная заработная плата работников муниципальных дошкольных 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образовательных учреждений»</w:t>
      </w:r>
    </w:p>
    <w:p w:rsidR="00557F58" w:rsidRDefault="00557F58">
      <w:pPr>
        <w:ind w:firstLine="708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0,9196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0,9517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0,5272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0,8109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0,4144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0,9516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0,7367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0,9407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0,4887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0,6695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0,5202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0,6829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0,6178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0,4258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0,7347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0,6111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0,6204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0,5976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0,1946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0,7834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0,5479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0,4648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0,5998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0,5458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0,6115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0,4994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0,5442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0,2830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0,6521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0,5044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0,2174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0,6601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0,4830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0,3782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0,5259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0,4668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0,2258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0,5885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0,2660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0,4903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0,9551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0,0112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0,3888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0,4098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0,3304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0,3621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0,8936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0,3574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0,4634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0,3474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0,4184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0,2510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0,3145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0,2071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0,2501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0,3037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0,2079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0,2462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4.8.3. Среднемесячная номинальная начисленная заработная плата работников муниципальных общеобразовательных учреждений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22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(2022 год – 22).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высоким значением и наибольшим темпом роста показателя 1-е место занял Радужный – 87,1 тыс. рублей (2022 год – 73,6).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наименьшего объема и низкой динамики значения показателя последнее место занял Октябрьский район – 71,3 тыс. рублей (2022 год – 66,1).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32.3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«среднемесячная номинальная начисленная заработная плата работников муниципальных общеобразовательных учреждений»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0,6126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0,9851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0,8361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0,9021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0,7168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0,7910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0,6507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0,8517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0,7713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0,3905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0,7562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0,5492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0,7295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0,7664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0,5649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0,6455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0,3246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0,5927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0,7680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0,4754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0,5925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0,6808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0,5818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0,5067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0,6046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0,5654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0,4845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0,6156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0,5632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0,2744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0,7160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0,5394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0,5517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0,4443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0,4873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0,1245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0,4728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0,3738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0,4423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0,5698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0,4392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0,2831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0,5058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0,4167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0,3053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0,4908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0,4166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0,0840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0,4187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0,2848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0,4318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0,1013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0,2335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0,1037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0,0622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0,0654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0,0262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4.8.4. Среднемесячная номинальная начисленная заработная плата учителей муниципальных общеобразовательных учреждений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году, по сравнению с 2022 годом, положительная динамика значения показателя отмечена в 22 муниципальных образованиях (2022 год – 22).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значением и высоким темпом роста значения показателя 1-е место занял</w:t>
      </w:r>
      <w:r>
        <w:rPr>
          <w:color w:val="0D0D0D" w:themeColor="text1" w:themeTint="F2"/>
        </w:rPr>
        <w:t xml:space="preserve"> </w:t>
      </w:r>
      <w:r>
        <w:rPr>
          <w:color w:val="0D0D0D" w:themeColor="text1" w:themeTint="F2"/>
          <w:sz w:val="28"/>
          <w:szCs w:val="28"/>
          <w:lang w:eastAsia="en-US"/>
        </w:rPr>
        <w:t>Пыть-Ях – 112,3 тыс. рублей (2022 год – 100,1).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низких объема и динамики значения показателя последнее место занял Покачи – 92,0 тыс. рублей (2022 год – 85,1).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32.4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«среднемесячная номинальная начисленная заработная плата учителей муниципальных общеобразовательных учреждений»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0,7146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0,5982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0,6448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0,6075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0,6121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0,6103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0,7824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0,4422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0,5783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0,1478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0,8005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0,5394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0,2521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0,6460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0,4884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0,1552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0,6919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0,4772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0,3545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0,5587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0,4770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0,5860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0,3928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0,4701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0,1322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0,5717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0,3959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0,2691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0,4608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0,3841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0,9030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0,3612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0,6388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0,1636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0,3537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0,1137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0,4969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0,3436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0,3637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0,3396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0,0649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0,5040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0,3283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0,3560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0,3039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0,3247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0,1923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0,3861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0,3086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0,0081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0,3699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0,2252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0,2907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0,1744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0,1777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0,1581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0,0701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0,1467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0,1161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4.8.5. Среднемесячная номинальная начисленная заработная плата работников муниципальных учреждений культуры и искусства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22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(2022 год – 22).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В результате высокого темпа роста значения показателя 1-е место занял Пыть-Ях – 81,4 тыс. рублей (2022 год – 74,7).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наименьшей динамики значения показателя последнее место занял Ханты-Мансийский район – 79,2 тыс. рублей (2022 год – 75,8).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32.5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«среднемесячная номинальная начисленная заработная плата работников муниципальных учреждений культуры и искусства»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0,6870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0,9823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0,8642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0,9666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0,6597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0,6236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0,7741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0,9869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0,6237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0,8686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0,6671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0,7477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0,9638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0,5707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0,7280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0,7403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0,6986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0,7153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0,7851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0,6145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0,6827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0,7704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0,6233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0,6821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0,1836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0,6734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0,7349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0,6072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0,6583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0,9863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0,4314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0,6534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0,8685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0,5093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0,6530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0,5889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0,6453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0,6227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0,8575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0,4451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0,6804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0,5353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0,7626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0,4683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0,5860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0,8541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0,3653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0,5608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0,7771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0,3508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0,5213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0,3377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0,5542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0,4676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0,5148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0,3089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0,6818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0,2727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4.8.6. Среднемесячная номинальная начисленная заработная плата работников муниципальных учреждений физической культуры и спорта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21 муниципальном образовании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 xml:space="preserve">(2022 год – 21). 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связи с наибольшими объемом и динамикой значения показателя </w:t>
      </w:r>
      <w:r>
        <w:rPr>
          <w:color w:val="0D0D0D" w:themeColor="text1" w:themeTint="F2"/>
          <w:sz w:val="28"/>
          <w:szCs w:val="28"/>
          <w:lang w:eastAsia="en-US"/>
        </w:rPr>
        <w:br/>
        <w:t xml:space="preserve">1-е место занял Ханты-Мансийский район – 94,8 тыс. рублей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74,3).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наименьшего объема значения показателя последнее место занял Советский район – 53,7 тыс. рублей (2022 год – 48,3). 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Кондинском районе работники физической культуры и спорта </w:t>
      </w:r>
      <w:r>
        <w:rPr>
          <w:color w:val="0D0D0D" w:themeColor="text1" w:themeTint="F2"/>
          <w:sz w:val="28"/>
          <w:szCs w:val="28"/>
          <w:lang w:eastAsia="en-US"/>
        </w:rPr>
        <w:lastRenderedPageBreak/>
        <w:t>учитываются по виду деятельности «Дополнительное образование».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32.6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«среднемесячная номинальная начисленная заработная плата работников муниципальных учреждений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физической культуры и спорта»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0,9766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0,9906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0,8759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0,9256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0,9884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0,9113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0,9656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0,8550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0,8992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0,9488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0,8629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0,8972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0,9331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0,8471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0,8815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0,8903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0,8530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0,8679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0,7057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0,9227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0,8359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0,8224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0,8388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0,8322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0,7549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0,8787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0,8292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0,8270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0,8305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0,8291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0,7847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0,8561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0,8275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0,8012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0,8434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0,8265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0,7833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0,8510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0,8240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0,7799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0,8524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0,8234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0,7764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0,8181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0,8014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0,7092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0,8406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0,7880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0,7029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0,8426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0,7868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0,7216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0,8116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0,7756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0,7176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0,8025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0,7685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0,6404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0,8486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0,7653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4.9. Доля детей в возрасте 1 – 6 лет, получающих дошкольную образовательную услугу и (или) услугу по их содержанию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муниципальных образовательных учреждениях,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общей численности детей в возрасте 1 - 6 лет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4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 xml:space="preserve">(2022 год – 15). 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объемом значения показателя 1-е место занял Ханты-Мансийск – 95,9 процента (2022 год – 86,1).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наименьшего объема и отрицательной динамики значения показателя последнее место занял Радужный – 52,6 процента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62,2).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Таблица 33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детей в возрасте 1 – 6 лет, получающих дошкольную образовательную услугу и (или) услугу по их содержанию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муниципальных образовательных учреждениях,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общей численности детей в возрасте 1 – 6 лет»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0,7242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0,9114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0,8365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0,7049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0,8807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0,8104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0,6163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0,6315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0,6254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0,9330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0,3093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0,5588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0,5323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0,5608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0,5494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0,1271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0,8145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0,5396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0,5630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0,4938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0,5215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0,2168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0,6906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0,5011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0,2577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0,6617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0,5001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0,4869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0,4843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0,4906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0,4623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0,3156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0,4673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0,4066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0,1407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0,5661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0,3960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0,3973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0,3614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0,3758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0,2157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0,4194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0,3379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0,2440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0,3743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0,3222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0,1022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0,4662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0,3206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0,3042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0,2529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0,2734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0,1328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0,3636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0,2713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0,4234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0,1694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0,2570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0,1542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4.10.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</w:r>
    </w:p>
    <w:p w:rsidR="00557F58" w:rsidRDefault="00557F58">
      <w:pPr>
        <w:jc w:val="center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В 2023 году, по сравнению с 2022 годом, положительная динамика значения показателя отмечена в 4 муниципальных образованиях </w:t>
      </w:r>
      <w:r>
        <w:rPr>
          <w:bCs/>
          <w:color w:val="0D0D0D" w:themeColor="text1" w:themeTint="F2"/>
          <w:sz w:val="28"/>
          <w:szCs w:val="28"/>
        </w:rPr>
        <w:br/>
        <w:t>(2022 год – 6), в 18 муниципальных образованиях значение показателя нулевое (2022 год – 16).</w:t>
      </w:r>
    </w:p>
    <w:p w:rsidR="00557F58" w:rsidRDefault="00130666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В результате высокого значения и отрицательной динамики значения показателя последнее место занял Сургут – 12,3 процента (2022 год – 12,1).</w:t>
      </w:r>
    </w:p>
    <w:p w:rsidR="00557F58" w:rsidRDefault="00557F58">
      <w:pPr>
        <w:ind w:firstLine="709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ind w:firstLine="709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34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по показателю «доля детей в возрасте 1 </w:t>
      </w:r>
      <w:r>
        <w:rPr>
          <w:color w:val="0D0D0D" w:themeColor="text1" w:themeTint="F2"/>
          <w:sz w:val="28"/>
          <w:szCs w:val="28"/>
          <w:lang w:eastAsia="en-US"/>
        </w:rPr>
        <w:t xml:space="preserve">– 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6 лет, стоящих на учете 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lastRenderedPageBreak/>
        <w:t xml:space="preserve">для определения в муниципальные дошкольные образовательные учреждения, в общей численности детей в возрасте 1 </w:t>
      </w:r>
      <w:r>
        <w:rPr>
          <w:color w:val="0D0D0D" w:themeColor="text1" w:themeTint="F2"/>
          <w:sz w:val="28"/>
          <w:szCs w:val="28"/>
          <w:lang w:eastAsia="en-US"/>
        </w:rPr>
        <w:t xml:space="preserve">– </w:t>
      </w:r>
      <w:r>
        <w:rPr>
          <w:bCs/>
          <w:color w:val="0D0D0D" w:themeColor="text1" w:themeTint="F2"/>
          <w:sz w:val="28"/>
          <w:szCs w:val="28"/>
          <w:lang w:eastAsia="en-US"/>
        </w:rPr>
        <w:t>6 лет»</w:t>
      </w:r>
    </w:p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8"/>
        <w:gridCol w:w="1357"/>
        <w:gridCol w:w="634"/>
        <w:gridCol w:w="1321"/>
        <w:gridCol w:w="634"/>
        <w:gridCol w:w="1321"/>
        <w:gridCol w:w="634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40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trHeight w:val="181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9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0,8591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0,9436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0,4309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0,7724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0,4201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0,7680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0,1274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0,0983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0,1099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0,0921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0,0712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0,0796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0,1003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0,0401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9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0,0114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0,0069</w:t>
            </w:r>
          </w:p>
        </w:tc>
        <w:tc>
          <w:tcPr>
            <w:tcW w:w="64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 в 20 муниципальных образованиях отсутствовали муниципальные дошкольные образовательные учреждения, здания которых находились бы в аварийном состоянии или требовали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бы капитального ремонта (в 2022 году – 19).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наибольшего объема и значения показателя последнее место занял Советский район – 33,3 процента (2022 год – 40,0).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35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муниципальных дошкольных образовательных учреждений, здания которых находятся в аварийном состоянии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или требуют капитального ремонта, в общем числе муниципальных дошкольных образовательных учреждений»</w:t>
      </w:r>
    </w:p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lastRenderedPageBreak/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0,9117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0,9647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0,8888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0,9555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0,3293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0,1520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4.12. Доля выпускников муниципальных общеобразовательных учреждений, не получивших аттестат о среднем (полном) образовании,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общей численности выпускников муниципальных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общеобразовательных учреждений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 в 9 муниципальных образованиях 100 процентов выпускников получили аттестат о среднем (полном) образовании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2).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наибольшего значения показателя последнее место занял Сургут – 1,7 процента (2022 год – 1,9).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36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выпускников муниципальных общеобразовательных учреждений, не получивших аттестат о среднем (полном) образовании,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общей численности выпускников муниципальных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общеобразовательных учреждений»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 xml:space="preserve">Наименование городского округа, муниципального района 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0,8975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0,7975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0,2475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0,6990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0,7475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0,4391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0,3350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0,3826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0,5096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0,4391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0,4235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0,6475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0,2560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0,4126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0,6725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0,2222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0,4023</w:t>
            </w:r>
          </w:p>
        </w:tc>
        <w:tc>
          <w:tcPr>
            <w:tcW w:w="64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8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0,6225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0,2222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0,3823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0,3110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0,2222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0,2823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0,2933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0,2560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0,0475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tcBorders>
              <w:top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jc w:val="center"/>
        <w:outlineLvl w:val="0"/>
        <w:rPr>
          <w:bCs/>
          <w:color w:val="0D0D0D" w:themeColor="text1" w:themeTint="F2"/>
          <w:sz w:val="24"/>
          <w:szCs w:val="24"/>
        </w:rPr>
      </w:pP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4.13.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3 муниципальных образованиях </w:t>
      </w:r>
      <w:r>
        <w:rPr>
          <w:bCs/>
          <w:color w:val="0D0D0D" w:themeColor="text1" w:themeTint="F2"/>
          <w:sz w:val="28"/>
          <w:szCs w:val="28"/>
          <w:lang w:eastAsia="en-US"/>
        </w:rPr>
        <w:br/>
        <w:t>(2022 год – 6), при этом в 5 муниципальных образованиях значение показателя составило 100 процентов (2022 год – 5).</w:t>
      </w:r>
    </w:p>
    <w:p w:rsidR="00557F58" w:rsidRDefault="00130666">
      <w:pPr>
        <w:ind w:firstLine="709"/>
        <w:jc w:val="both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С учетом наименьшего значения показателя и отсутствия динамики значения показателя за трехлетний период последнее место занял Советский район – 89,2 процента (2021-2022 годы – 89,2).</w:t>
      </w:r>
    </w:p>
    <w:p w:rsidR="00557F58" w:rsidRDefault="00557F58">
      <w:pPr>
        <w:ind w:firstLine="567"/>
        <w:jc w:val="right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567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37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по показателю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</w:t>
      </w:r>
    </w:p>
    <w:p w:rsidR="00557F58" w:rsidRDefault="00557F58">
      <w:pPr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0,9043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0,9617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0,8951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0,9383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0,9210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0,9475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0,6797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0,7868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0,6636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0,8462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0,7732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0,3684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0,6211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0,3684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0,6211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0,6389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0,5679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0,5963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0,9753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0,3099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0,5761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0,9136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0,3094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0,5511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0,9414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0,2806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0,5449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0,9444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0,2365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0,5197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0,4691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0,5229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0,5014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0,2218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0,4960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0,8333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0,2353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0,4745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0,8302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0,2349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0,4730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0,2341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0,4405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0,7315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0,2043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0,8765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0,0742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0,3951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0,8056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0,0594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0,3578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0,8056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0,0594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0,3578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0,7315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0,2926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0,4672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0,2803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4.14.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общеобразовательных учреждений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в 6 муниципальных образованиях отсутствовали муниципальные общеобразовательные учреждения, здания которых находились в аварийном состоянии или требовали капитального ремонта (2022 год – 6), при этом в данных муниципальных образованиях указанные учреждения отсутствуют на протяжении 2021-2023 годов.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высокого объема значения показателя и отсутствия динамики последнее место занял Югорск – 40 процентов (2022 год – 40).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38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tcBorders>
              <w:bottom w:val="single" w:sz="4" w:space="0" w:color="000000"/>
            </w:tcBorders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0,9999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0,9999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0,9630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0,9418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0,9036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0,9091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0,9069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0,4777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0,6537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0,9415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0,6529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0,0807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0,9091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0,5778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0,7779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0,5332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0,7621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0,3477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0,5135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0,7956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0,2903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0,4924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0,6936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0,2903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0,4516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0,7614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0,2063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0,4284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0,6421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0,2526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0,4084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0,4643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0,1450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0,2727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0,5528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0,0785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0,2682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0,2864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0,0593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0,1501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0,2864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0,0593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0,1501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4.15.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12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(2022 год – 12).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наибольшего значения и положительной динамики значения показателя 1-е место занял Нижневартовск – 94,6 процента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93,6).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низким значением и отрицательной динамикой значения показателя последнее место занял Белоярский район – 71,4 процента (2022 год – 73,1).</w:t>
      </w: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39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детей первой и второй групп здоровья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общей численности обучающихся в муниципальных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общеобразовательных учреждениях»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trHeight w:val="124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0,7484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0,8490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0,9161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0,7948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0,8433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0,8935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0,7284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0,7944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0,9001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0,6855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0,7714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0,9294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0,6134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0,7398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0,8056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0,6771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0,7285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0,8495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0,6110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0,7064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0,2277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0,6911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0,9294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0,5245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0,6865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0,7137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0,6264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0,6613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0,7324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0,5844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0,6436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0,6551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0,6292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0,6396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0,7830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0,5233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0,6271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0,4887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0,6812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0,6042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0,7324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0,4998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0,5928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0,7656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0,4679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0,5870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0,6858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0,4313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0,7310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0,5160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0,5832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0,3698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0,3795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0,2901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0,3259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0,4384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0,2630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0,2370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0,0948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4.16.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общеобразовательных учреждениях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12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(2022 год – 15); в 5 муниципальных образованиях в муниципальных общеобразовательных учреждениях обучение во вторую (третью) смену не осуществляется (2022 год – 4).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высокого объема и отрицательной динамики значения показателя последнее место занял Сургут – 39,7 процента (2022 год – 37,6).</w:t>
      </w:r>
    </w:p>
    <w:p w:rsidR="00557F58" w:rsidRDefault="00557F58">
      <w:pPr>
        <w:ind w:firstLine="567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ind w:firstLine="567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40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  <w:r>
        <w:rPr>
          <w:bCs/>
          <w:color w:val="0D0D0D" w:themeColor="text1" w:themeTint="F2"/>
          <w:sz w:val="28"/>
          <w:szCs w:val="28"/>
          <w:lang w:eastAsia="en-US"/>
        </w:rPr>
        <w:br w:type="textWrapping" w:clear="all"/>
        <w:t>по показателю 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</w:t>
      </w:r>
    </w:p>
    <w:p w:rsidR="00557F58" w:rsidRDefault="00557F58">
      <w:pPr>
        <w:jc w:val="center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0,7343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0,8937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0,8693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0,2274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0,4841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0,7214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0,2820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0,4577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0,6690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0,3086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0,4527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0,6148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0,3205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0,4382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0,6036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0,3174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0,4319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0,6371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0,2897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0,4287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0,3087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0,2659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0,2830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0,3715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0,2062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0,2723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0,6277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0,0114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0,2579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0,2545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0,2157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0,2312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0,5632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0,2253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0,3147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0,1211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0,1986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0,2373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0,1182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0,1658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19.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0,2898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0,0566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0,1498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0,0129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0,1775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0,1117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0,1101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0,0827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0,0937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0,0719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0,0431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4.17.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22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(2022 год – 21).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наибольшими объемом и темпом роста значения показателя 1-е место занял Ханты-Мансийский район – 671,9 тыс. рублей (2022 год – 611,0).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наименьшего объема и низкой динамики значения показателя последнее место занял Сургут – 153,8 тыс. рублей (2022 год – 142,5).</w:t>
      </w: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41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по показателю «расходы бюджета муниципального образования на общее образование в расчете на 1 обучающегося в муниципальных общеобразовательных учреждениях»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627"/>
        <w:gridCol w:w="1304"/>
        <w:gridCol w:w="683"/>
        <w:gridCol w:w="1304"/>
        <w:gridCol w:w="683"/>
        <w:gridCol w:w="1304"/>
        <w:gridCol w:w="683"/>
      </w:tblGrid>
      <w:tr w:rsidR="00557F58">
        <w:tc>
          <w:tcPr>
            <w:tcW w:w="408" w:type="dxa"/>
            <w:vMerge w:val="restart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c>
          <w:tcPr>
            <w:tcW w:w="408" w:type="dxa"/>
            <w:vMerge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0,7076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0,8246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0,3184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0,9001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0,6674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0,0934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0,6374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0,3788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0,7981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0,6303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0,4278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0,7104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0,5973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0,4026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0,7060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0,5847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0,1224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0,8566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0,5629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0,1279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0,7627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0,5088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0,1165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0,7411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0,4912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0,2863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0,5930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0,4703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0,0463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0,7248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0,4534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0,1166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0,6652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0,4457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0,0615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0,6610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0,4212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0,0480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0,5894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0,5742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0,0416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0,5737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0,3608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0,0449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0,5708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0,3604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0,0569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0,5219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0,3359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0,4383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0,3070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0,2199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0,2407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0,2324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0,0967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0,0864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0,0905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22.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4.18. Доля детей в возрасте 5 – 18 лет, получающих услуги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14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(2022 год – 13).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объемом значения показателя 1-е место занял Сургут – 99,3 процента (2022 год – 100,6).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низкого объема и отрицательной динамики значения показателя в 2021 году последнее место занял Мегион – 87,0 процентов (2022 год – 71,3).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42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 xml:space="preserve">по показателю «доля детей в возрасте 5 – 18 лет, получающих услуги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0,4929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0,6957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0,2064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0,6826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0,7515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0,5326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0,6201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0,8459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0,4113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0,7515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0,4225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0,5541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0,3808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0,6689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0,5537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0,6512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0,4877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0,5160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0,3453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0,4136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0,3285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0,4332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0,3913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0,5145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0,3016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0,3867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0,2989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0,3794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0,3983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0,6090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0,1784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0,3506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0,4491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0,2634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0,3377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0,4288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0,2228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0,2762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0,2913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0,4360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0,2847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0,3968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0,0873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0,2111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0,4956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0,1983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0,3023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0,0532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0,1529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0,3547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0,0082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0,1468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0,1699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0,1019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 xml:space="preserve">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4.19. Уровень фактической обеспеченности учреждениями культуры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от нормативной потребности: клубами и учреждениями клубного типа, библиотеками, парками культуры и отдыха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году, по сравнению с 2022 годом, отмечена положительная динамика значения показателей: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«уровень фактической обеспеченности клубами и учреждениями клубного типа» в 3 муниципальных образованиях (2022 год – 2);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«уровень фактической обеспеченности библиотеками» в 2 муниципальных образованиях (2022 год – 10).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Значение показателя «уровень фактической обеспеченности парками культуры и отдыха» в Урае и Сургуте осталось стабильным.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высоким объемом значения показателя 1-е место занял Урай: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уровень фактической обеспеченности клубами и учреждениями клубного типа – 200,0 процентов (2022 год – 200,0);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уровень фактической обеспеченности библиотеками  – 75,0 процентов (2022 год – 106,0);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уровень фактической обеспеченности парками – 100,0 процентов (2022 год – 100,0).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отрицательной динамикой значения показателя последнее место занял Пыть-Ях: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уровень фактической обеспеченности клубами и учреждениями клубного типа – 50,0 процентов (2022 год – 100,0);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уровень фактической обеспеченности библиотеками – 50,0 процентов (2022 год – 66,7);</w:t>
      </w:r>
    </w:p>
    <w:p w:rsidR="00557F58" w:rsidRDefault="00130666">
      <w:pPr>
        <w:widowControl w:val="0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уровень фактической обеспеченности парками – отсутствуют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(2022 год – отсутствуют).</w:t>
      </w: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43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627"/>
        <w:gridCol w:w="1304"/>
        <w:gridCol w:w="683"/>
        <w:gridCol w:w="1304"/>
        <w:gridCol w:w="683"/>
        <w:gridCol w:w="1304"/>
        <w:gridCol w:w="683"/>
      </w:tblGrid>
      <w:tr w:rsidR="00557F58">
        <w:tc>
          <w:tcPr>
            <w:tcW w:w="408" w:type="dxa"/>
            <w:vMerge w:val="restart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c>
          <w:tcPr>
            <w:tcW w:w="408" w:type="dxa"/>
            <w:vMerge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0,6029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0,5538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0,5734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0,2853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0,6229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0,4879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0,1780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0,5898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0,4251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0,3333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0,4580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0,4081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0,3521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0,4316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0,3998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0,3212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0,4385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0,3916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0,2492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0,4652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0,3788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8.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0,2098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0,4808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0,1953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0,4778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0,3648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0,3037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0,4013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0,3623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0,2963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0,3964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0,3563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0,1876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0,4297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0,3329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0,3333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0,3092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0,3188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0,1830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0,3575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0,2877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0,0634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0,4029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0,2671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0,1918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0,3089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0,2621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0,1924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0,2596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0,2327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0,1466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0,2842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0,2292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0,1908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0,1914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0,1911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0,1101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0,2362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0,1857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0,1562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0,1587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0,1577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0,0523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0,0209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4.20. Доля муниципальных учреждений культуры, здания которых находятся в аварийном состоянии или требуют капитального ремонта,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общем количестве муниципальных учреждений культуры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в 16 муниципальных образованиях отсутствовали муниципальные учреждения культуры, здания которых находились в аварийном состоянии или требовали капитального ремонта (2022 год – 16), при этом в 14 муниципальных образованиях указанные учреждения отсутствовали на протяжении 2020-2023 годов.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объемом и отсутствием динамики значения показателя последнее место занял Октябрьский район – 28,0 процентов (2022 год – 28,0).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44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tcBorders>
              <w:bottom w:val="single" w:sz="4" w:space="0" w:color="000000"/>
            </w:tcBorders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0,9798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0,9919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0,7131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0,3805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0,5135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0,9308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0,0228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0,3860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0,7119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0,1210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0,3573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0,7464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0,0117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0,3056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0,5988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0,2395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0,0117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0,0070</w:t>
            </w:r>
          </w:p>
        </w:tc>
        <w:tc>
          <w:tcPr>
            <w:tcW w:w="64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4.21.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муниципальной собственности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2020 – 2023 годах в 18 муниципальных образованиях отсутствовали объекты культурного наследия, находившиеся в муниципальной собственности и требовавшие консервации или реставрации.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значением показателя и отсутствием динамики последнее место занял Сургутский район – 100,0 процентов (2022 год – 100,0).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45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объектов культурного наследия, находящихся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муниципальной собственности и требующих консервации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или реставрации, в общем количестве объектов культурного наследия, находящихся в муниципальной собственности»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627"/>
        <w:gridCol w:w="1304"/>
        <w:gridCol w:w="683"/>
        <w:gridCol w:w="1304"/>
        <w:gridCol w:w="683"/>
        <w:gridCol w:w="1304"/>
        <w:gridCol w:w="683"/>
      </w:tblGrid>
      <w:tr w:rsidR="00557F58">
        <w:tc>
          <w:tcPr>
            <w:tcW w:w="408" w:type="dxa"/>
            <w:vMerge w:val="restart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c>
          <w:tcPr>
            <w:tcW w:w="408" w:type="dxa"/>
            <w:vMerge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15.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0,3640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0,0436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0,1718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0,3053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0,0383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0,1451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0,3330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0,1332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4.22. Доля населения, систематически занимающегося физической культурой и спортом</w:t>
      </w:r>
    </w:p>
    <w:p w:rsidR="00557F58" w:rsidRDefault="00557F58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21 муниципальном образовании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 xml:space="preserve">(2022 год – 19). 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высокого темпа роста значения показателя в 2022 году </w:t>
      </w:r>
      <w:r>
        <w:rPr>
          <w:color w:val="0D0D0D" w:themeColor="text1" w:themeTint="F2"/>
          <w:sz w:val="28"/>
          <w:szCs w:val="28"/>
          <w:lang w:eastAsia="en-US"/>
        </w:rPr>
        <w:br/>
        <w:t xml:space="preserve">1-е место занял Нефтеюганск – 50,3 процента (2022 год – 49,5, </w:t>
      </w:r>
      <w:r>
        <w:rPr>
          <w:color w:val="0D0D0D" w:themeColor="text1" w:themeTint="F2"/>
          <w:sz w:val="28"/>
          <w:szCs w:val="28"/>
          <w:lang w:eastAsia="en-US"/>
        </w:rPr>
        <w:br/>
        <w:t>2021 год – 27,6).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наименьшим объемом и низкой динамикой значения показателя последнее место занял Сургут – 44,9 процента (2022 год – 41,9).</w:t>
      </w:r>
    </w:p>
    <w:p w:rsidR="00557F58" w:rsidRDefault="00557F58">
      <w:pPr>
        <w:ind w:firstLine="567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ind w:firstLine="567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46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  <w:r>
        <w:rPr>
          <w:bCs/>
          <w:color w:val="0D0D0D" w:themeColor="text1" w:themeTint="F2"/>
          <w:sz w:val="28"/>
          <w:szCs w:val="28"/>
          <w:lang w:eastAsia="en-US"/>
        </w:rPr>
        <w:br w:type="textWrapping" w:clear="all"/>
        <w:t>по показателю «доля населения, систематически занимающегося физической культурой и спортом»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trHeight w:val="174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0,3111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0,5867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0,8433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0,1590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0,4327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0,7886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0,1304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0,3937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0,5273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0,3894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0,7169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0,1697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0,3886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0,7375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0,1443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0,3816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0,8396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0,0608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0,5164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0,3584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0,4775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0,2760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0,3566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0,5772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0,2046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0,3536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0,4678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0,1976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0,3057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0,2454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0,3360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0,2998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0,3524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0,2554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0,2942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0,4313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0,1646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0,2713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0,4605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0,1387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0,4350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0,1479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0,2628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0,1944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0,2665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0,2377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0,3414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0,0972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0,1949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0,3147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0,0678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0,1666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0,4095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0,1638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0,0085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0,0308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0,0219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4.23. Доля обучающихся, систематически занимающихся физической культурой и спортом, в общей численности обучающихся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  <w:highlight w:val="yellow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мониторинг по показателю «4.23. Доля обучающихся, систематически занимающихся физической культурой и спортом, в общей численности обучающихся» не проводился в связи с изменением годовой формы федерального статистического наблюдения № 1-ФК «Сведения о физической культуре и спорте» в части возрастов занимающихся, в том числе исключения выделения из общего числа 18-летнего населения.</w:t>
      </w:r>
    </w:p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4.24. Общая площадь жилых помещений, приходящаяся в среднем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на 1 жителя, всего, в том числе введенная в действие за 1 год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отмечена положительная динамика значений следующих показателей: 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общая площадь жилых помещений, приходящаяся в среднем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на 1 жителя, всего – в 12 муниципальных образованиях (2022 год – 8);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общая площадь жилых помещений, введенная в действие за 1 год, в среднем на 1 жителя – в 14 муниципальных образованиях (2022 год – 4).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объемом положительной динамикой значения показателя 1-е место занял Советский район: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общая площадь жилых помещений, приходящаяся в среднем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на 1 жителя, всего – 32,5 квадратного метра (2022 год – 31,9);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общая площадь жилых помещений, введенная в действие за 1 год,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в среднем на 1 жителя – 0,8 квадратного метра (2022 год – 0,5).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низкого значения и отрицательной динамики значения показателя последнее место занял Радужный: 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общая площадь жилых помещений, приходящаяся в среднем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на 1 жителя, всего – 16,9 квадратного метра (2022 год – 17,3);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общая площадь жилых помещений, введенная в действие за 1 год,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в среднем на 1 жителя – 0,0 квадратного метра (2022 год – 0,0).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47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«общая площадь жилых помещений, приходящаяся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среднем на 1 жителя, всего, в том числе введенная в действие за 1 год»</w:t>
      </w:r>
    </w:p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627"/>
        <w:gridCol w:w="1304"/>
        <w:gridCol w:w="683"/>
        <w:gridCol w:w="1304"/>
        <w:gridCol w:w="683"/>
        <w:gridCol w:w="1304"/>
        <w:gridCol w:w="683"/>
      </w:tblGrid>
      <w:tr w:rsidR="00557F58">
        <w:tc>
          <w:tcPr>
            <w:tcW w:w="408" w:type="dxa"/>
            <w:vMerge w:val="restart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c>
          <w:tcPr>
            <w:tcW w:w="408" w:type="dxa"/>
            <w:vMerge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0,8220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0,5685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0,6699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0,8270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0,5385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0,6539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0,3517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0,7976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0,6192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0,7031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0,5255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0,5966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0,6152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0,5458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0,5736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0,5126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0,5724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0,5485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0,6265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0,4867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0,5426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0,6022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0,4495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0,5106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0,2005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0,6908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0,4947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0,5929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0,4235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0,4912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0,4268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0,4832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0,4606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0,0801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0,6865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0,4440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0,2471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0,5750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0,4040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0,4470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0,4298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0,4302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0,3914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0,4069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0,2614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0,4906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0,3989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0,6144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0,1277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0,3224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0,2118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0,3815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0,3136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0,0162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0,5010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0,3071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0,3043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0,2938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0,2980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0,2042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0,3528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0,2934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0,0314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0,2383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0,1556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4.25. Площадь земельных участков, предоставленных для строительства,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расчете на 10 тыс. человек населения, всего, в том числе земельных участков, предоставленных для жилищного строительства, индивидуального строительства и комплексного освоения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целях жилищного строительства 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году, по сравнению с 2022 годом, отмечена положительная динамика значений следующих показателей: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площадь земельных участков, предоставленных для строительства, в расчете на 10 тыс. человек населения – в 16 муниципальных образованиях (2022 год – 15);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площадь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строительства, в расчете на 10 тыс. человек населения – в 14 муниципальных образованиях (2022 год – 9).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высоким темпом роста значения показателя 1-е место занял Покачи: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площадь земельных участков, предоставленных для строительства, в расчете на 10 тыс. человек населения, всего – 4,3 гектара (2022 год – 0,0);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площадь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строительства, в расчете на 10 тыс. человек населения – 4,3 гектара (2022 год – 0,0).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низкого значения показателя и его отрицательной динамики последнее место занял Лангепас: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площадь земельных участков, предоставленных для строительства, в </w:t>
      </w:r>
      <w:r>
        <w:rPr>
          <w:color w:val="0D0D0D" w:themeColor="text1" w:themeTint="F2"/>
          <w:sz w:val="28"/>
          <w:szCs w:val="28"/>
          <w:lang w:eastAsia="en-US"/>
        </w:rPr>
        <w:lastRenderedPageBreak/>
        <w:t>расчете на 10 тыс. человек населения – 0,8 гектара (2022 год – 2,5);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площадь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строительства, в расчете на 10 тыс. человек населения – 0,0 гектара (2022 год – 0,0).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48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«площадь земельных участков, предоставленных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для строительства, в расчете на 10 тыс. человек населения, всего,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том числе земельных участков, предоставленных для жилищного строительства, индивидуального строительства и комплексного освоения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целях жилищного строительства»</w:t>
      </w:r>
    </w:p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0,1093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0,8254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0,5390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0,6459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0,3177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0,4490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0,5215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0,3205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0,4525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0,3809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0,3153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0,3329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0,3258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0,2476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0,3750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0,3240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0,0232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0,3093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0,2815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0,2917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0,2876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0,1968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0,3245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0,2734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0,1860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0,3250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0,2694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0,0928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0,3626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0,2546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0,1768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0,3029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0,2525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0,0721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0,3677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0,2495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0,0132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0,3848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0,2361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0,0873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0,3091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0,2204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0,1037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0,2929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0,2172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0,1449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0,2265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0,0088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0,3106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0,1899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0,0359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0,1795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0,0504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0,2507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0,1705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0,0063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0,2099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0,1284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trHeight w:val="270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0,1203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0,0722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jc w:val="center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4.26. Площадь земельных участков, предоставленных для строительства, 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на ввод в эксплуатацию</w:t>
      </w:r>
    </w:p>
    <w:p w:rsidR="00557F58" w:rsidRDefault="00557F58">
      <w:pPr>
        <w:jc w:val="center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lastRenderedPageBreak/>
        <w:t>В 2023 году в 20 муниципальных образованиях (2022 год – 20) в отношении 100 процентов земельных участков, предоставленных для строительства, было получено разрешение на ввод в эксплуатацию как в части жилищного строительства, так и иных объектов капитального строительства.</w:t>
      </w:r>
    </w:p>
    <w:p w:rsidR="00557F58" w:rsidRDefault="00130666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В связи с высоким объемом значения показателя последнее место занял Сургут:</w:t>
      </w:r>
    </w:p>
    <w:p w:rsidR="00557F58" w:rsidRDefault="00130666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объектов жилищного строительства (в течение 3 лет) – 220,7 тысячи квадратного метра (2022 год – 426,2);</w:t>
      </w:r>
    </w:p>
    <w:p w:rsidR="00557F58" w:rsidRDefault="00130666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иных объектов капитального строительства (в течение 5 лет) – </w:t>
      </w:r>
      <w:r>
        <w:rPr>
          <w:bCs/>
          <w:color w:val="0D0D0D" w:themeColor="text1" w:themeTint="F2"/>
          <w:sz w:val="28"/>
          <w:szCs w:val="28"/>
        </w:rPr>
        <w:br/>
        <w:t>343,0 тысячи квадратных метров (2022 год – 429,5).</w:t>
      </w:r>
    </w:p>
    <w:p w:rsidR="00557F58" w:rsidRDefault="00557F58">
      <w:pPr>
        <w:jc w:val="right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Таблица 49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Распределение мест между муниципальными образованиями 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по показателю «площадь земельных участков, предоставленных 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для строительства, в отношении которых с даты принятия решения 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о предоставлении земельного участка или подписания протокола 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о результатах торгов (конкурсов, аукционов) не было получено разрешение на ввод в эксплуатацию»</w:t>
      </w:r>
    </w:p>
    <w:p w:rsidR="00557F58" w:rsidRDefault="00557F58">
      <w:pPr>
        <w:jc w:val="center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0,9981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0,9992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0,9899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0,9960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0,9717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0,7345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0,8294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4.27. Доля многоквартирных домов, в которых собственники помещений выбрали и реализуют один из способов управления многоквартирными </w:t>
      </w:r>
      <w:r>
        <w:rPr>
          <w:color w:val="0D0D0D" w:themeColor="text1" w:themeTint="F2"/>
          <w:sz w:val="28"/>
          <w:szCs w:val="28"/>
          <w:lang w:eastAsia="en-US"/>
        </w:rPr>
        <w:lastRenderedPageBreak/>
        <w:t xml:space="preserve">домами, в общем числе многоквартирных домов, в которых собственники помещений должны выбрать способ управления данными домами 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в 11 муниципальных образованиях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составила 100 процентов (2022 год – 10), при этом в 9 муниципальных образованиях значение указанного показателя составляет 100 процентов на протяжении 2020-2023 годов.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связи с высоким темпом роста значения показателя в 2021 году </w:t>
      </w:r>
      <w:r>
        <w:rPr>
          <w:color w:val="0D0D0D" w:themeColor="text1" w:themeTint="F2"/>
          <w:sz w:val="28"/>
          <w:szCs w:val="28"/>
          <w:lang w:eastAsia="en-US"/>
        </w:rPr>
        <w:br/>
        <w:t>1-е место занял Сургутский район – 91,4 процента (2022 год – 91,4, 2020 год – 67,2).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наименьшего объема и низкой динамики значения показателя последнее место занял Березовский район – 63,5 процента (2022 год – 62,7).</w:t>
      </w: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50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которых собственники помещений должны выбрать способ управления данными домами»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0,6658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0,8663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0,3950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0,9599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0,8668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0,2245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0,4815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0,7435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0,2983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0,4764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0,1001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0,4536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0,9812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0,4423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0,9651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0,0859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0,4376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0,9026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0,4354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0,0577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0,4346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0,9723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0,0689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0,4302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0,0030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0,3754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0,7516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0,3505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0,7248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0,0486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0,3191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</w:t>
      </w:r>
      <w:r>
        <w:rPr>
          <w:color w:val="0D0D0D" w:themeColor="text1" w:themeTint="F2"/>
          <w:sz w:val="28"/>
          <w:szCs w:val="28"/>
          <w:lang w:eastAsia="en-US"/>
        </w:rPr>
        <w:br/>
        <w:t xml:space="preserve">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 процентов,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6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(2022 год – 4).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значением показателя 1-е место занял Белоярский район – с 2020 по 2023 год значение показателя составляет 100,0 процентов.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наименьшего объема и отсутствия динамики значения показателя последнее место занял Нефтеюганск – 40,0 процентов (2022 год – 40,0).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На территории Березовского района отсутствуют организации коммунального комплекса, оказывающие коммунальные услуги на праве частной собственности.</w:t>
      </w: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51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0,9504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0,9163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0,9445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0,9332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0,8927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0,9432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0,9230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0,8593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0,9558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0,8250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0,8971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0,8110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0,8944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0,8570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0,8932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0,8410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0,9261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0,8921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0,8330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0,8836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0,8704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0,8704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0,8704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0,8704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0,7083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0,9748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0,8682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0,7780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0,8616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0,8504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0,6890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0,9528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0,8473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0,6007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0,8403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0,7904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0,4667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0,9882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0,7796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0,7104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4.29.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557F58" w:rsidRDefault="00557F58">
      <w:pPr>
        <w:jc w:val="center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в 16 муниципальных образованиях 100 процентов многоквартирных домов расположены на земельных участках, поставленных на государственный кадастровый учет (2022 год – 16), в 4 муниципальных образованиях отмечена положительная динамика значения показателя.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высокими значением и темпом роста значения показателя 1-е место занял Мегион – 95,3 процента (2022 год – 92,6).</w:t>
      </w:r>
    </w:p>
    <w:p w:rsidR="00557F58" w:rsidRDefault="00130666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 наименьшего объема и низкой динамики значения показателя последнее место занял Сургут – 71,8 процента (2022 год – 70,5).</w:t>
      </w:r>
    </w:p>
    <w:p w:rsidR="00557F58" w:rsidRDefault="00557F58">
      <w:pPr>
        <w:ind w:firstLine="567"/>
        <w:jc w:val="right"/>
        <w:outlineLvl w:val="0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ind w:firstLine="567"/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52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по показателю «доля многоквартирных домов, расположенных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на земельных участках, в отношении которых осуществлен государственный кадастровый учет»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0,7569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0,9028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0,8303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0,9296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0,8899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0,9805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0,5594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0,7279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0,8750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0,2156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0,4794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0,9748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0,0749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0,4349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0,7133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0,0632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0,3233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trHeight w:val="270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0,2934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0,1761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jc w:val="center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4.30. Доля населения, получившего жилые помещения и улучившего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557F58" w:rsidRDefault="00557F58">
      <w:pPr>
        <w:jc w:val="both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В 2023 году, по сравнению с 2022 годом, положительная динамика значения показателя отмечена в 11 муниципальных образованиях </w:t>
      </w:r>
      <w:r>
        <w:rPr>
          <w:bCs/>
          <w:color w:val="0D0D0D" w:themeColor="text1" w:themeTint="F2"/>
          <w:sz w:val="28"/>
          <w:szCs w:val="28"/>
        </w:rPr>
        <w:br w:type="textWrapping" w:clear="all"/>
        <w:t>(2022 год – 11).</w:t>
      </w:r>
    </w:p>
    <w:p w:rsidR="00557F58" w:rsidRDefault="00130666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В связи с наибольшим объемом и высоким темпом роста значения показателя 1-е место занял Ханты-Мансийск – 143,2 процента (2022 год – 134,2).</w:t>
      </w:r>
    </w:p>
    <w:p w:rsidR="00557F58" w:rsidRDefault="00130666">
      <w:pPr>
        <w:ind w:firstLine="709"/>
        <w:jc w:val="both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</w:t>
      </w:r>
      <w:r>
        <w:rPr>
          <w:bCs/>
          <w:color w:val="0D0D0D" w:themeColor="text1" w:themeTint="F2"/>
          <w:sz w:val="28"/>
          <w:szCs w:val="28"/>
          <w:lang w:eastAsia="en-US"/>
        </w:rPr>
        <w:t xml:space="preserve"> наименьшего значения показателя и его отрицательной динамики последнее место занял Нефтеюганск – 0,4 процента (2022 год – 0,8).</w:t>
      </w:r>
    </w:p>
    <w:p w:rsidR="00557F58" w:rsidRDefault="00557F58">
      <w:pPr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ind w:firstLine="567"/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53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по показателю «доля населения, получившего жилые помещения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и улучившего жилищные условия в отчетном году, в общей численности населения, состоящего на учете в качестве нуждающегося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в жилых помещениях»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0,8073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0,8844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0,4758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0,7903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0,5530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0,8713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0,7440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0,6348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0,6703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0,3177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0,8271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0,6233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0,4376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0,7053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0,5982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0,1277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0,9096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0,5968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0,4464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0,5850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0,2404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0,7466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0,5442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0,0895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0,8412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0,5405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0,1483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0,7402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0,5034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0,7314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0,5028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0,0649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0,7640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0,4843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0,0951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0,7128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0,4657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0,0457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0,6888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0,4315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0,0660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0,6069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0,3905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0,0828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0,5277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0,3498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0,4723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0,3455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0,4840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0,3245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0,1492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0,0895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0,0398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0,0264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0,0318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0,0361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0,0144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4.31. Доля налоговых и неналоговых доходов местного бюджета 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557F58" w:rsidRDefault="00557F58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3 муниципальных образованиях </w:t>
      </w:r>
      <w:r>
        <w:rPr>
          <w:bCs/>
          <w:color w:val="0D0D0D" w:themeColor="text1" w:themeTint="F2"/>
          <w:sz w:val="28"/>
          <w:szCs w:val="28"/>
          <w:lang w:eastAsia="en-US"/>
        </w:rPr>
        <w:br/>
        <w:t>(2022 год – 9).</w:t>
      </w:r>
    </w:p>
    <w:p w:rsidR="00557F58" w:rsidRDefault="00130666">
      <w:pPr>
        <w:ind w:firstLine="709"/>
        <w:jc w:val="both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В связи с высоким объемом значения показателя 1-е место занял Пыть-Ях – 52,3 процента (2022 год – 56,4).</w:t>
      </w:r>
    </w:p>
    <w:p w:rsidR="00557F58" w:rsidRDefault="00130666">
      <w:pPr>
        <w:ind w:firstLine="709"/>
        <w:jc w:val="both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В результате низкого объема и отрицательной динамики значения показателя последнее место занял Белоярский район – 24,5 процента (2022 год – 26,5).</w:t>
      </w:r>
    </w:p>
    <w:p w:rsidR="00557F58" w:rsidRDefault="00130666">
      <w:pPr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54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jc w:val="center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по показателю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</w:t>
      </w:r>
    </w:p>
    <w:p w:rsidR="00557F58" w:rsidRDefault="00557F58">
      <w:pPr>
        <w:jc w:val="center"/>
        <w:rPr>
          <w:bCs/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8"/>
        <w:gridCol w:w="1357"/>
        <w:gridCol w:w="634"/>
        <w:gridCol w:w="1321"/>
        <w:gridCol w:w="634"/>
        <w:gridCol w:w="1321"/>
        <w:gridCol w:w="634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40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1990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0,6180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0,8472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0,7164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0,8001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0,7666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0,5598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0,7359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0,8734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0,6152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0,7185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0,6003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0,6210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0,6127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0,4428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0,7023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0,5985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0,5771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0,5683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0,5718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0,6125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0,5434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0,5710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0,7811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0,4101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0,5585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0,7623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0,3492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0,5144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0,3825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0,5848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0,5039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0,2753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0,5324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0,4296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0,1570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0,5910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0,4174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0,4527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0,3907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0,4155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0,6617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0,2426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0,4102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0,1271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0,4917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0,3459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0,3311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0,3404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0,3367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0,5788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0,2315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0,3686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0,2212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0,3389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0,1226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0,2091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0,4080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0,0313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0,1820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9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0,1868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0,0466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0,1027</w:t>
            </w:r>
          </w:p>
        </w:tc>
        <w:tc>
          <w:tcPr>
            <w:tcW w:w="645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полной учетной стоимости)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в 18 муниципальных образованиях отсутствовали основные фонды организаций муниципальной формы собственности, находящиеся в стадии банкротства (2022 год – 18).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наибольшим объемом значения показателя последнее место занял Нижневартовск – 0,7 процента (2022 год – 0,7).</w:t>
      </w:r>
    </w:p>
    <w:p w:rsidR="00557F58" w:rsidRDefault="00557F58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55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полной учетной стоимости)»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0,9929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0,9972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0,0709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0,7880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0,5012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4.33. Объем незавершенного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7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(2022 год – 4).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городских округах Ханты-Мансийск, Покачи, Урай, Югорск, муниципальных районах Белоярском, Кондинском, Нефтеюганском, Нижневартовском и Октябрьском на протяжении 2022 – 2023 годов отсутствует незавершенное в установленные сроки строительство, осуществляемое за счет средств бюджета муниципального, городского округа (муниципального района).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отрицательной динамикой значения показателя последнее место занял Пыть-Ях – 103 505,3 тыс. рублей (2022 год – 0,0).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56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«объем незавершенного в установленные сроки строительства, осуществляемого за счет средств бюджета муниципального, городского округа (муниципального района)»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0,9990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0,9980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0,9984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0,9990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0,9963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0,9974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0,9971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0,9933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0,9966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0,9862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0,9916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0,9650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0,9983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0,9850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0,9646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0,9979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0,9846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0,9421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0,9744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0,9071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0,9628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0,6805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0,9958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0,8697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0,6788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0,9949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0,8685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0,6254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0,9940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0,8465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0,9935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0,5961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0,9798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0,3919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4.34. Доля просроченной кредиторской задолженности по оплате труда (включая начисления на оплату труда) муниципальных учреждений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общем объеме расходов муниципального образования на оплату труда (включая начисления на оплату труда)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году, как и в 2022 году, просроченная кредиторская задолженность по оплате труда (включая начисления на оплату труда) муниципальных учреждений в муниципальных образованиях отсутствовала.</w:t>
      </w:r>
    </w:p>
    <w:p w:rsidR="00557F58" w:rsidRDefault="00557F58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4.35. 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</w:t>
      </w:r>
      <w:r>
        <w:rPr>
          <w:bCs/>
          <w:color w:val="0D0D0D" w:themeColor="text1" w:themeTint="F2"/>
          <w:sz w:val="28"/>
          <w:szCs w:val="28"/>
          <w:lang w:eastAsia="en-US"/>
        </w:rPr>
        <w:t>положительная динамика значения показателя</w:t>
      </w:r>
      <w:r>
        <w:rPr>
          <w:color w:val="0D0D0D" w:themeColor="text1" w:themeTint="F2"/>
          <w:sz w:val="28"/>
          <w:szCs w:val="28"/>
          <w:lang w:eastAsia="en-US"/>
        </w:rPr>
        <w:t xml:space="preserve"> отмечена в 2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(2022 год – 13).</w:t>
      </w:r>
    </w:p>
    <w:p w:rsidR="00557F58" w:rsidRDefault="00130666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низким значением положительной динамикой показателя в 2022 году 1-е место занял Нижневартовск – 3 431,8 рубля (2022 год – 3 177,7).</w:t>
      </w:r>
    </w:p>
    <w:p w:rsidR="00557F58" w:rsidRDefault="00130666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наибольших объема и отрицательной динамики значения показателя последнее место занял Нижневартовский район – 17 008,0 рублей (2022 – 14 919,0).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57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«расходы бюджета муниципального образования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на содержание работников органов местного самоуправления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расчете на 1 жителя муниципального образования»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</w:rPr>
            </w:pPr>
          </w:p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0,9615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0,9846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0,9842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0,8143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0,8886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0,7960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0,8844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0,8491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0,8956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0,7784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0,8253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0,6563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0,8885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0,7956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0,7394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0,7938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0,6325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0,5763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0,5988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0,7316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0,5008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0,5932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0,8270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0,3923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0,5662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0,6164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0,4969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0,5447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0,7511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0,3359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0,5020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0,7362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0,3199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0,4864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0,8632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0,1511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0,4359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0,3713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0,4677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0,4291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0,6053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0,2806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0,4105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0,8699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0,0404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0,3722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0,7120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0,2848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0,6738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0,0230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0,2833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0,1449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0,2762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0,1729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0,2444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0,2158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0,1958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0,1175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4.36. 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Во всех муниципальных образованиях утверждены генеральные планы муниципального, городского округа (схемы территориального планирования муниципального района).</w:t>
      </w:r>
    </w:p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4.37. Удовлетворенность населения деятельностью органов местного самоуправления муниципального, городского округа 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(муниципального района)</w:t>
      </w:r>
    </w:p>
    <w:p w:rsidR="00557F58" w:rsidRDefault="00557F58">
      <w:pPr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21 муниципальном образовании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22).</w:t>
      </w:r>
    </w:p>
    <w:p w:rsidR="00557F58" w:rsidRDefault="00130666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высоким объемом и положительной динамикой значения показателя 1-е место занял Белоярский район – 92,3 процента (2022 год – 81,2).</w:t>
      </w:r>
    </w:p>
    <w:p w:rsidR="00557F58" w:rsidRDefault="00130666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результате наименьшего объема и отрицательной динамики значения показателя последнее место занял Мегион – 42,2 процента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55,5).</w:t>
      </w:r>
    </w:p>
    <w:p w:rsidR="00557F58" w:rsidRDefault="00130666">
      <w:pPr>
        <w:ind w:firstLine="708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58</w:t>
      </w:r>
    </w:p>
    <w:p w:rsidR="00557F58" w:rsidRDefault="00130666">
      <w:pPr>
        <w:ind w:firstLine="708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ind w:firstLine="708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по показателю «удовлетворенность населения деятельностью органов местного самоуправления муниципального, городского округа (муниципального района)»</w:t>
      </w:r>
    </w:p>
    <w:p w:rsidR="00557F58" w:rsidRDefault="00557F58">
      <w:pPr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</w:rPr>
            </w:pPr>
          </w:p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0,8111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0,8866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0,7641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0,8381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0,8085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0,7543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0,8218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0,7948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0,6807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0,8382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0,4350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0,7740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0,5740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0,8341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0,7301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0,4613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0,7845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0,4087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0,8188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0,6548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0,1570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0,9591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0,6383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0,4455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0,7299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0,6161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0,5485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0,6505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0,6097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0,4959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0,5934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0,5544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0,7265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0,5399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0,4222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0,6095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0,5346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0,3591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0,5388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0,4670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0,4410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0,4212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0,4291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0,3787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0,4123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0,3988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0,3922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0,3857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0,3883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0,1893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0,4549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0,3487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0,3269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0,3023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0,4486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0,2691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0,2682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0,1073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4.38. Среднегодовая численность постоянного населения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году, по сравнению с 2022 годом, положительная динамика значения показателя отмечена в 17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(2022 год – 14).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связи с наибольшими объемом и динамикой значения показателя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1-е место занял Сургут – 413,6 тыс. человек (2022 год – 402,7).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наименьшего значения показателя последнее место занял Покачи – 16,4 тыс. человек (2022 год – 16,1).</w:t>
      </w:r>
    </w:p>
    <w:p w:rsidR="00557F58" w:rsidRDefault="00557F58">
      <w:pPr>
        <w:ind w:firstLine="708"/>
        <w:jc w:val="right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8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59</w:t>
      </w:r>
    </w:p>
    <w:p w:rsidR="00557F58" w:rsidRDefault="00130666">
      <w:pPr>
        <w:ind w:firstLine="708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ind w:firstLine="708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«среднегодовая численность постоянного населения»</w:t>
      </w:r>
    </w:p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0,7388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0,8433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0,6939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0,5804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0,6258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0,0356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0,6143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0,1044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0,8941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0,5782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0,2366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0,7603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0,5508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0,1159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0,7438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0,4926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0,0540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0,7055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0,4449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0,2866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0,5180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0,4254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0,0764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0,4177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0,0715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0,5367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0,3506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0,0598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0,5159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0,3335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0,2837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0,3608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0,3299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0,0564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0,4951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0,3196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0,0147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0,5214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0,3187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0,0625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0,4876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0,3175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0,0306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0,4322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0,2715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0,0352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0,3917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0,2491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0,0773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0,3387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0,2341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0,0705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0,3212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0,2209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0,0056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0,2581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0,1571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0,1242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0,0995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0,1094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4.39. Удельная величина потребления энергетических ресурсов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в многоквартирных домах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году, по сравнению с 2022 годом, отмечено снижение значений следующих показателей: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электрической энергии – в 13 муниципальных образованиях (2022 год – 18);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тепловой энергии – в 10 муниципальных образованиях (2022 год – 11);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горячей воды – в 15 муниципальных образованиях (2022 год – 12);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холодной воды – в 11 муниципальных образованиях (2022 год – 12).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потребление природного газа в многоквартирных домах осуществлялось в 15 муниципальных образованиях (2022 год – 14), при этом в 3 муниципальных образованиях отмечено снижение его потребления (2022 год – 8).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низкими объемами и отсутствием отрицательной динамики значений показателей 1-е место занял Белоярский район: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электрической энергии – 782,7 кВт.ч на 1 проживающего (2022 год – 782,8);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тепловой энергии – 0,1 Гкал на 1 кв. метр общей площади (2022 год – 0,1);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горячей воды – 6,2 куб. метра </w:t>
      </w:r>
      <w:r>
        <w:rPr>
          <w:color w:val="0D0D0D" w:themeColor="text1" w:themeTint="F2"/>
          <w:sz w:val="28"/>
          <w:szCs w:val="28"/>
          <w:lang w:eastAsia="en-US"/>
        </w:rPr>
        <w:br/>
        <w:t>на 1 проживающего (2022 год – 6,4);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удельная величина потребления холодной воды – 11,6 куб. метра на 1 проживающего (2022 год – 12,2);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природного газа – 53,0 куб. метра на 1 проживающего (2022 год – 53,0).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высокого объема и отрицательной динамики значений показателей в 2022 году последнее место занял Пыть-Ях: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электрической энергии – 1045,5 кВт.ч на 1 проживающего (2022 год – 930,6);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тепловой энергии – 0,3 Гкал на 1 кв. метр общей площади (2022 год – 0,3);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горячей воды – 8,0 куб. метров </w:t>
      </w:r>
      <w:r>
        <w:rPr>
          <w:color w:val="0D0D0D" w:themeColor="text1" w:themeTint="F2"/>
          <w:sz w:val="28"/>
          <w:szCs w:val="28"/>
          <w:lang w:eastAsia="en-US"/>
        </w:rPr>
        <w:br/>
        <w:t>на 1 проживающего (2022 год – 6,7);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холодной воды – 24,7 куб. метра </w:t>
      </w:r>
      <w:r>
        <w:rPr>
          <w:color w:val="0D0D0D" w:themeColor="text1" w:themeTint="F2"/>
          <w:sz w:val="28"/>
          <w:szCs w:val="28"/>
          <w:lang w:eastAsia="en-US"/>
        </w:rPr>
        <w:br/>
        <w:t>на 1 проживающего (2022 год – 25,7).</w:t>
      </w: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60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«удельная величина потребления энергетических ресурсов в многоквартирных домах»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627"/>
        <w:gridCol w:w="1304"/>
        <w:gridCol w:w="683"/>
        <w:gridCol w:w="1304"/>
        <w:gridCol w:w="683"/>
        <w:gridCol w:w="1304"/>
        <w:gridCol w:w="683"/>
      </w:tblGrid>
      <w:tr w:rsidR="00557F58">
        <w:tc>
          <w:tcPr>
            <w:tcW w:w="408" w:type="dxa"/>
            <w:vMerge w:val="restart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c>
          <w:tcPr>
            <w:tcW w:w="408" w:type="dxa"/>
            <w:vMerge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0,8439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0,5713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0,6803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0,7420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0,5282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0,6137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0,6352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0,5763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0,5998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0,5373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0,6180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0,5857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0,5704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0,5783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0,5751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0,5254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0,5955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0,5675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0,7489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0,4097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0,5454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0,5279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0,5530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0,5430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0,5546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0,5127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0,5294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0,5766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0,4703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0,5128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0,3505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0,6029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0,5019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0,3553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0,5798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0,3809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0,5537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0,4846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0,6525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0,3620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0,4782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0,3536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0,5452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0,4685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0,4290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0,4364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0,4334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0,5518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0,3076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0,4053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0,4028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0,4047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0,4039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0,4372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0,3174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0,3653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0,5684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0,2275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0,3638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0,3600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0,3137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0,3322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c>
          <w:tcPr>
            <w:tcW w:w="40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0,3593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0,2937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0,3199</w:t>
            </w:r>
          </w:p>
        </w:tc>
        <w:tc>
          <w:tcPr>
            <w:tcW w:w="649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4"/>
          <w:szCs w:val="24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4.40. Удельная величина потребления энергетических ресурсов муниципальными бюджетными учреждениями</w:t>
      </w:r>
    </w:p>
    <w:p w:rsidR="00557F58" w:rsidRDefault="00557F58">
      <w:pPr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по сравнению с 2022 годом отмечено снижение значений следующих показателей: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электрической энергии – </w:t>
      </w:r>
      <w:r>
        <w:rPr>
          <w:color w:val="0D0D0D" w:themeColor="text1" w:themeTint="F2"/>
          <w:sz w:val="28"/>
          <w:szCs w:val="28"/>
          <w:lang w:eastAsia="en-US"/>
        </w:rPr>
        <w:br/>
        <w:t>в 14 муниципальных образованиях (2022 год – 15);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тепловой энергии – </w:t>
      </w:r>
      <w:r>
        <w:rPr>
          <w:color w:val="0D0D0D" w:themeColor="text1" w:themeTint="F2"/>
          <w:sz w:val="28"/>
          <w:szCs w:val="28"/>
          <w:lang w:eastAsia="en-US"/>
        </w:rPr>
        <w:br/>
        <w:t>в 9 муниципальных образованиях (2022 год – 15);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горячей воды – в 6 муниципальных образованиях (2022 год – 12);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холодной воды – в 13 муниципальных образованиях (2022 год – 9).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потребление природного газа муниципальными бюджетными учреждениями осуществлялось в 7 муниципальных образованиях (2022 год – 7), при этом в 5 муниципальных образованиях отмечено снижение его потребления (2022 год – 2).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низкими объемами и положительной динамикой значений показателей 1-е место занял Урай: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электрической энергии муниципальными бюджетными учреждениями – 116,0 кВт.ч на 1 человека (2022 год – 116,9);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тепловой энергии муниципальными бюджетными учреждениями – 0,1 Гкал на 1 кв. метр общей площади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0,1);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горячей воды муниципальными бюджетными учреждениями – 0,3 куб. метра на 1 человека (2022 год – 0,2);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холодной воды муниципальными бюджетными учреждениями – 1,2 куб. метра на 1 человека (2022 год – 1,2);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природного газа муниципальными бюджетными учреждениями – 9 куб. метров на 1 человека (2022 год – 8,9).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высокого объема и отсутствия динамики значений показателей последнее место занял Нижневартовск: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электрической энергии муниципальными бюджетными учреждениями – 167,0 кВт.ч на 1 человека (2022 год – 171,0);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удельная величина потребления тепловой энергии муниципальными бюджетными учреждениями – 0,2 Гкал на 1 кв. метр общей площади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0,2);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горячей воды муниципальными бюджетными учреждениями – 1,0 куб. метр на 1 человека (2022 год – 1,0);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удельная величина потребления холодной воды муниципальными бюджетными учреждениями – 3,4 куб. метра на 1 человека (2022 год – 3,4).</w:t>
      </w:r>
    </w:p>
    <w:p w:rsidR="00557F58" w:rsidRDefault="00557F58">
      <w:pPr>
        <w:widowControl w:val="0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61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по показателю «удельная величина потребления энергетических ресурсов муниципальными бюджетными учреждениями»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trHeight w:val="748"/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trHeight w:val="343"/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0,7828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0,6192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0,6846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0,7791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0,5859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0,6632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0,8760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0,4564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0,6243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0,8313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0,6044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0,7738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0,4756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0,5949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0,5391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0,6083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0,5806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0,3631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0,7086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0,5704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0,5296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0,5490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0,5413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0,5080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0,5384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0,7469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0,3704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0,5210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0,4546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0,5466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0,5098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0,5017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0,4967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0,4987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0,5318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0,4479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0,4815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0,5944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0,3718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0,4608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0,5156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0,3771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0,4325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0,2220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0,5323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0,4081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0,4889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0,3326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0,3951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0,4781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0,2932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0,3672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0,5477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0,2411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0,3637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0,3694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0,2991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0,3272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trHeight w:val="255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0,6236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0,1144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0,3181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trHeight w:val="270"/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0,2060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0,3857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0,3138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4.41.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независимая оценка качества условий оказания услуг муниципальными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образований, проводилась: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сфере культуры – в 8 муниципальных образованиях (2022 год – 17);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сфере образования – в 18 муниципальных образованиях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19);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сфере социального обслуживания – в 4 муниципальных образованиях (2022 год – 3);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 xml:space="preserve">в иных муниципальных организациях – не проводилась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в 2 муниципальных образованиях).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Результаты независимой оценки в сфере охраны здоровья не использованы ввиду отсутствия полномочий у муниципальных образований автономного округа по организации медицинской помощи.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высокими объемами и темпом роста значений показателей 1-е место занял Пыть-Ях: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сфере культуры – не проводилась (2022 год – 96,8 балла);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сфере образования – не проводилась (2022 год – 90,9 балла);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сфере социального обслуживания – 97,0 баллов (2022 год – 99,0);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иных муниципальных организациях – не проводилась.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независимой оценки качества условий оказания услуг муниципальными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образований, не во всех сферах и с низким значением показателя последнее место занял Радужный: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сфере культуры – не проводилась;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сфере образования – не проводилась;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сфере социального обслуживания – не проводилась;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иных муниципальных организациях – не проводилась.</w:t>
      </w:r>
    </w:p>
    <w:p w:rsidR="00557F58" w:rsidRDefault="00557F58">
      <w:pPr>
        <w:widowControl w:val="0"/>
        <w:jc w:val="right"/>
        <w:rPr>
          <w:color w:val="0D0D0D" w:themeColor="text1" w:themeTint="F2"/>
          <w:sz w:val="28"/>
          <w:szCs w:val="28"/>
          <w:lang w:eastAsia="en-US"/>
        </w:rPr>
      </w:pPr>
    </w:p>
    <w:p w:rsidR="00557F58" w:rsidRDefault="00130666">
      <w:pPr>
        <w:widowControl w:val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62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образований»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757"/>
        <w:gridCol w:w="1337"/>
        <w:gridCol w:w="637"/>
        <w:gridCol w:w="1327"/>
        <w:gridCol w:w="637"/>
        <w:gridCol w:w="1327"/>
        <w:gridCol w:w="637"/>
      </w:tblGrid>
      <w:tr w:rsidR="00557F58">
        <w:trPr>
          <w:jc w:val="center"/>
        </w:trPr>
        <w:tc>
          <w:tcPr>
            <w:tcW w:w="408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757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01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объема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Индекс среднего темпа роста показателя эффективности</w:t>
            </w:r>
          </w:p>
        </w:tc>
        <w:tc>
          <w:tcPr>
            <w:tcW w:w="200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Сводный индекс показателя эффективности</w:t>
            </w:r>
          </w:p>
        </w:tc>
      </w:tr>
      <w:tr w:rsidR="00557F58">
        <w:trPr>
          <w:jc w:val="center"/>
        </w:trPr>
        <w:tc>
          <w:tcPr>
            <w:tcW w:w="408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57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коэффициент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0,4297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0,3219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0,4036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0,2617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0,3185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0,7312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0,0242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0,3070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0,6254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0,0234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0,2642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0,2443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0,2622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0,2551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0,5651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0,0239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0,2403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0,4993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0,0241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0,2141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0,4886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0,0240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0,2099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0,4615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0,0246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0,1993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0,4177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0,0119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0,1742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0,4078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0,0120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0,1703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0,3945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0,1578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13.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0,3382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0,0122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0,1426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0,3265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0,0119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0,1377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0,3088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0,0228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0,1372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0,3065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0,0237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0,1368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0,3214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0,0122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0,1359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0,2529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0,0120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0,1084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0,2490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0,0119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0,1067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0,2464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0,0121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0,1058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0,1605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0,0120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0,0714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0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757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6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353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0,0000</w:t>
            </w:r>
          </w:p>
        </w:tc>
        <w:tc>
          <w:tcPr>
            <w:tcW w:w="6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4.42. Результаты мониторинга эффективности деятельности органов местного самоуправления городских округов и муниципальных районов автономного округа за 2023 год</w:t>
      </w: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130666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t>Таблица 63</w:t>
      </w: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  <w:lang w:eastAsia="en-US"/>
        </w:rPr>
      </w:pPr>
      <w:r>
        <w:rPr>
          <w:bCs/>
          <w:color w:val="0D0D0D" w:themeColor="text1" w:themeTint="F2"/>
          <w:sz w:val="28"/>
          <w:szCs w:val="28"/>
        </w:rPr>
        <w:t>Распределение мест между муниципальными образованиями</w:t>
      </w:r>
      <w:r>
        <w:rPr>
          <w:color w:val="0D0D0D" w:themeColor="text1" w:themeTint="F2"/>
          <w:sz w:val="28"/>
          <w:szCs w:val="28"/>
          <w:lang w:eastAsia="en-US"/>
        </w:rPr>
        <w:t xml:space="preserve">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 xml:space="preserve">по результатам мониторинга эффективности деятельности органов местного самоуправления городских округов </w:t>
      </w: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и муниципальных районов за 2023 год</w:t>
      </w: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4754"/>
        <w:gridCol w:w="1992"/>
        <w:gridCol w:w="1561"/>
      </w:tblGrid>
      <w:tr w:rsidR="00557F58">
        <w:trPr>
          <w:trHeight w:val="169"/>
          <w:jc w:val="center"/>
        </w:trPr>
        <w:tc>
          <w:tcPr>
            <w:tcW w:w="789" w:type="dxa"/>
            <w:vMerge w:val="restart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4754" w:type="dxa"/>
            <w:vMerge w:val="restart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3744" w:type="dxa"/>
            <w:gridSpan w:val="2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Комплексная оценка</w:t>
            </w:r>
          </w:p>
        </w:tc>
      </w:tr>
      <w:tr w:rsidR="00557F58">
        <w:trPr>
          <w:trHeight w:val="202"/>
          <w:jc w:val="center"/>
        </w:trPr>
        <w:tc>
          <w:tcPr>
            <w:tcW w:w="789" w:type="dxa"/>
            <w:vMerge/>
            <w:vAlign w:val="center"/>
          </w:tcPr>
          <w:p w:rsidR="00557F58" w:rsidRDefault="00557F58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4754" w:type="dxa"/>
            <w:vMerge/>
            <w:vAlign w:val="center"/>
          </w:tcPr>
          <w:p w:rsidR="00557F58" w:rsidRDefault="00557F58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073" w:type="dxa"/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коэффициент</w:t>
            </w:r>
          </w:p>
        </w:tc>
        <w:tc>
          <w:tcPr>
            <w:tcW w:w="1671" w:type="dxa"/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место</w:t>
            </w:r>
          </w:p>
        </w:tc>
      </w:tr>
      <w:tr w:rsidR="00557F58">
        <w:trPr>
          <w:trHeight w:val="163"/>
          <w:jc w:val="center"/>
        </w:trPr>
        <w:tc>
          <w:tcPr>
            <w:tcW w:w="78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4754" w:type="dxa"/>
            <w:tcBorders>
              <w:bottom w:val="single" w:sz="4" w:space="0" w:color="000000"/>
            </w:tcBorders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trHeight w:val="20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0,6456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trHeight w:val="18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0,6327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trHeight w:val="18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0,6098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trHeight w:val="19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0,6083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trHeight w:val="18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0,6070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trHeight w:val="172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0,6028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trHeight w:val="17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0,5909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trHeight w:val="70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0,5901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trHeight w:val="169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0,5786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trHeight w:val="17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0,5555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trHeight w:val="17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0,5491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trHeight w:val="16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0,5457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trHeight w:val="17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0,5414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trHeight w:val="162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0,5284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trHeight w:val="16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0,5281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trHeight w:val="126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0,5226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trHeight w:val="13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0,5213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trHeight w:val="120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0,5107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trHeight w:val="12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0,5089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trHeight w:val="11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0,4981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trHeight w:val="11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0,4459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trHeight w:val="12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207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0,4456</w:t>
            </w:r>
          </w:p>
        </w:tc>
        <w:tc>
          <w:tcPr>
            <w:tcW w:w="167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val="en-US" w:eastAsia="en-US"/>
        </w:rPr>
        <w:t>V</w:t>
      </w:r>
      <w:r>
        <w:rPr>
          <w:color w:val="0D0D0D" w:themeColor="text1" w:themeTint="F2"/>
          <w:sz w:val="28"/>
          <w:szCs w:val="28"/>
          <w:lang w:eastAsia="en-US"/>
        </w:rPr>
        <w:t xml:space="preserve">. Результаты мониторинга состояния жилищного фонда, охраны прав граждан и юридических лиц и состояния платежной дисциплины и инвестиционной политики в жилищно-коммунальном комплексе </w:t>
      </w:r>
    </w:p>
    <w:p w:rsidR="00557F58" w:rsidRDefault="00130666">
      <w:pPr>
        <w:jc w:val="center"/>
        <w:outlineLvl w:val="0"/>
        <w:rPr>
          <w:color w:val="0D0D0D" w:themeColor="text1" w:themeTint="F2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городских округах и муниципальных районах, эффективности деятельности по организации мероприятий при осуществлении </w:t>
      </w:r>
      <w:r>
        <w:rPr>
          <w:color w:val="0D0D0D" w:themeColor="text1" w:themeTint="F2"/>
          <w:sz w:val="28"/>
          <w:szCs w:val="28"/>
          <w:lang w:eastAsia="en-US"/>
        </w:rPr>
        <w:lastRenderedPageBreak/>
        <w:t>деятельности по обращению с животными без владельцев, по обращению с отходами, оценка развития наркоситуации за 2023 год</w:t>
      </w:r>
    </w:p>
    <w:p w:rsidR="00557F58" w:rsidRDefault="00557F58">
      <w:pPr>
        <w:widowContro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5.1. Информация о состоянии жилищного фонда</w:t>
      </w:r>
    </w:p>
    <w:p w:rsidR="00557F58" w:rsidRDefault="00557F58">
      <w:pPr>
        <w:widowControl w:val="0"/>
        <w:jc w:val="center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площадь ветхого жилищного фонда в автономном округе составила 333,4 тыс. кв. метров (2022 год – 439,1). По сравнению с 2022 годом уменьшение значения показателя отмечено в 12 муниципальных образованиях. Ветхий жилищный фонд отсутствует в Ханты-Мансийске, Когалыме, Лангепасе, Нефтеюганске, Покачи, Радужный, Белоярском, Нефтеюганском и Ханты-Мансийском районах.</w:t>
      </w:r>
    </w:p>
    <w:p w:rsidR="00557F58" w:rsidRDefault="00130666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Площадь аварийного жилищного фонда в автономном округе составила 1 398,2 тыс. кв. метров (2022 год – 1 361,6). По сравнению с 2022 годом уменьшение значения показателя отмечено в 10 муниципальных образованиях. Аварийный жилищный фонд отсутствует в Покачи и Нижневартовском районе.</w:t>
      </w:r>
    </w:p>
    <w:p w:rsidR="00557F58" w:rsidRDefault="00130666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связи с отсутствием ветхого и аварийного жилья 1-е место занял Покачи (2022 год – 0 кв. метров).</w:t>
      </w:r>
    </w:p>
    <w:p w:rsidR="00557F58" w:rsidRDefault="00130666">
      <w:pPr>
        <w:widowControl w:val="0"/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результате высокого объема значения показателя последнее место занял Советский район – 224 700,0 кв. метров (2022 год – 242 000,0).</w:t>
      </w:r>
    </w:p>
    <w:p w:rsidR="00557F58" w:rsidRDefault="00557F58">
      <w:pPr>
        <w:widowControl w:val="0"/>
        <w:ind w:firstLine="709"/>
        <w:jc w:val="right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64</w:t>
      </w:r>
    </w:p>
    <w:p w:rsidR="00557F58" w:rsidRDefault="00130666">
      <w:pPr>
        <w:ind w:firstLine="708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ind w:firstLine="708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площади ветхого и аварийного жилищного фонда </w:t>
      </w:r>
    </w:p>
    <w:p w:rsidR="00557F58" w:rsidRDefault="00557F58">
      <w:pPr>
        <w:ind w:firstLine="708"/>
        <w:jc w:val="center"/>
        <w:rPr>
          <w:color w:val="0D0D0D" w:themeColor="text1" w:themeTint="F2"/>
          <w:sz w:val="28"/>
          <w:szCs w:val="28"/>
        </w:rPr>
      </w:pPr>
    </w:p>
    <w:tbl>
      <w:tblPr>
        <w:tblW w:w="49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2599"/>
        <w:gridCol w:w="1140"/>
        <w:gridCol w:w="726"/>
        <w:gridCol w:w="1237"/>
        <w:gridCol w:w="729"/>
        <w:gridCol w:w="1106"/>
        <w:gridCol w:w="739"/>
      </w:tblGrid>
      <w:tr w:rsidR="00557F58">
        <w:trPr>
          <w:jc w:val="center"/>
        </w:trPr>
        <w:tc>
          <w:tcPr>
            <w:tcW w:w="749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672" w:type="dxa"/>
            <w:vMerge w:val="restart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1889" w:type="dxa"/>
            <w:gridSpan w:val="2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Площадь ветхого жилого фонда</w:t>
            </w:r>
          </w:p>
        </w:tc>
        <w:tc>
          <w:tcPr>
            <w:tcW w:w="1997" w:type="dxa"/>
            <w:gridSpan w:val="2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Площадь аварийного жилого фонда</w:t>
            </w:r>
          </w:p>
        </w:tc>
        <w:tc>
          <w:tcPr>
            <w:tcW w:w="1866" w:type="dxa"/>
            <w:gridSpan w:val="2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Всего</w:t>
            </w:r>
          </w:p>
        </w:tc>
      </w:tr>
      <w:tr w:rsidR="00557F58">
        <w:trPr>
          <w:jc w:val="center"/>
        </w:trPr>
        <w:tc>
          <w:tcPr>
            <w:tcW w:w="749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672" w:type="dxa"/>
            <w:vMerge/>
            <w:tcMar>
              <w:left w:w="51" w:type="dxa"/>
              <w:right w:w="51" w:type="dxa"/>
            </w:tcMar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153" w:type="dxa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кв. м на 1000 человек населения</w:t>
            </w:r>
          </w:p>
        </w:tc>
        <w:tc>
          <w:tcPr>
            <w:tcW w:w="736" w:type="dxa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258" w:type="dxa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 xml:space="preserve">кв. м </w:t>
            </w:r>
          </w:p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 1000 человек населения</w:t>
            </w:r>
          </w:p>
        </w:tc>
        <w:tc>
          <w:tcPr>
            <w:tcW w:w="739" w:type="dxa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116" w:type="dxa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кв. м на 1000 человек населения</w:t>
            </w:r>
          </w:p>
        </w:tc>
        <w:tc>
          <w:tcPr>
            <w:tcW w:w="750" w:type="dxa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7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672" w:type="dxa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153" w:type="dxa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736" w:type="dxa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258" w:type="dxa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739" w:type="dxa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1116" w:type="dxa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750" w:type="dxa"/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7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15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7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67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1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28,8</w:t>
            </w:r>
          </w:p>
        </w:tc>
        <w:tc>
          <w:tcPr>
            <w:tcW w:w="73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1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28,8</w:t>
            </w:r>
          </w:p>
        </w:tc>
        <w:tc>
          <w:tcPr>
            <w:tcW w:w="7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7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67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1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82,4</w:t>
            </w:r>
          </w:p>
        </w:tc>
        <w:tc>
          <w:tcPr>
            <w:tcW w:w="73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1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82,4</w:t>
            </w:r>
          </w:p>
        </w:tc>
        <w:tc>
          <w:tcPr>
            <w:tcW w:w="7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74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67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1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3,9</w:t>
            </w:r>
          </w:p>
        </w:tc>
        <w:tc>
          <w:tcPr>
            <w:tcW w:w="7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2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83,9</w:t>
            </w:r>
          </w:p>
        </w:tc>
        <w:tc>
          <w:tcPr>
            <w:tcW w:w="73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1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87,8</w:t>
            </w:r>
          </w:p>
        </w:tc>
        <w:tc>
          <w:tcPr>
            <w:tcW w:w="7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67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1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15,2</w:t>
            </w:r>
          </w:p>
        </w:tc>
        <w:tc>
          <w:tcPr>
            <w:tcW w:w="73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25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85,9</w:t>
            </w:r>
          </w:p>
        </w:tc>
        <w:tc>
          <w:tcPr>
            <w:tcW w:w="73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1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101,1</w:t>
            </w:r>
          </w:p>
        </w:tc>
        <w:tc>
          <w:tcPr>
            <w:tcW w:w="7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128,6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128,6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172,6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172,6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206,2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206,2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584,8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596,6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777,4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794,7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1 024,8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1 024,8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1 400,2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1 400,2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436,8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984,0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1 420,8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184,2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1 291,9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1 476,2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2 027,5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2 027,5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2 204,7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2 204,7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474,4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2 277,1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2 751,5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1 049,9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1 924,9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2 974,7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1 589,3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1 484,2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3 073,6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20.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484,3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2 851,9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3 336,2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478,1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4 009,4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4 487,5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2 501,2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2 327,1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4 828,3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widowControl w:val="0"/>
        <w:rPr>
          <w:color w:val="0D0D0D" w:themeColor="text1" w:themeTint="F2"/>
          <w:sz w:val="24"/>
          <w:szCs w:val="24"/>
        </w:rPr>
      </w:pPr>
    </w:p>
    <w:p w:rsidR="00557F58" w:rsidRDefault="00130666">
      <w:pPr>
        <w:widowControl w:val="0"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5.2. Охрана прав граждан и юридических лиц</w:t>
      </w:r>
    </w:p>
    <w:p w:rsidR="00557F58" w:rsidRDefault="00557F58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2023 году в автономном округе общее количество обращений </w:t>
      </w:r>
      <w:r>
        <w:rPr>
          <w:color w:val="0D0D0D" w:themeColor="text1" w:themeTint="F2"/>
          <w:sz w:val="28"/>
          <w:szCs w:val="28"/>
          <w:lang w:eastAsia="en-US"/>
        </w:rPr>
        <w:br w:type="textWrapping" w:clear="all"/>
        <w:t>в суды на действия (бездействие) органов местного самоуправления составило: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физические лица – 108 обращений (2022 год – 99);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юридические лица – 38 обращений (2022 год – 58).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При этом отказано в удовлетворении: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физическим лицам – 55 обращений (2022 год – 53), что составляет 50,9 процента от общего количества таких обращений;</w:t>
      </w:r>
    </w:p>
    <w:p w:rsidR="00557F58" w:rsidRDefault="00130666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юридическим лицам – 23 обращения (2022 год – 30), что составляет 60,5 процента от общего количества таких обращений.</w:t>
      </w:r>
    </w:p>
    <w:p w:rsidR="00557F58" w:rsidRDefault="00130666">
      <w:pPr>
        <w:jc w:val="right"/>
        <w:rPr>
          <w:color w:val="0D0D0D" w:themeColor="text1" w:themeTint="F2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65</w:t>
      </w:r>
    </w:p>
    <w:p w:rsidR="00557F58" w:rsidRDefault="00130666">
      <w:pPr>
        <w:ind w:firstLine="709"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Распределение мест между муниципальными образованиями </w:t>
      </w:r>
    </w:p>
    <w:p w:rsidR="00557F58" w:rsidRDefault="00130666">
      <w:pPr>
        <w:ind w:firstLine="709"/>
        <w:jc w:val="center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к</w:t>
      </w:r>
      <w:r>
        <w:rPr>
          <w:bCs/>
          <w:color w:val="0D0D0D" w:themeColor="text1" w:themeTint="F2"/>
          <w:sz w:val="28"/>
          <w:szCs w:val="28"/>
          <w:lang w:eastAsia="en-US"/>
        </w:rPr>
        <w:t>оличеству обращений в суды на действия (бездействие) органа местного самоуправления, удовлетворенных полностью</w:t>
      </w:r>
    </w:p>
    <w:p w:rsidR="00557F58" w:rsidRDefault="00557F58">
      <w:pPr>
        <w:ind w:firstLine="709"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3131"/>
        <w:gridCol w:w="1013"/>
        <w:gridCol w:w="804"/>
        <w:gridCol w:w="1040"/>
        <w:gridCol w:w="804"/>
        <w:gridCol w:w="919"/>
        <w:gridCol w:w="804"/>
      </w:tblGrid>
      <w:tr w:rsidR="00557F58">
        <w:trPr>
          <w:jc w:val="center"/>
        </w:trPr>
        <w:tc>
          <w:tcPr>
            <w:tcW w:w="552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3272" w:type="dxa"/>
            <w:vMerge w:val="restart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1846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Обращения физических лиц</w:t>
            </w:r>
          </w:p>
        </w:tc>
        <w:tc>
          <w:tcPr>
            <w:tcW w:w="1875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Обращения юридических лиц</w:t>
            </w:r>
          </w:p>
        </w:tc>
        <w:tc>
          <w:tcPr>
            <w:tcW w:w="1742" w:type="dxa"/>
            <w:gridSpan w:val="2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Всего</w:t>
            </w:r>
          </w:p>
        </w:tc>
      </w:tr>
      <w:tr w:rsidR="00557F58">
        <w:trPr>
          <w:jc w:val="center"/>
        </w:trPr>
        <w:tc>
          <w:tcPr>
            <w:tcW w:w="552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272" w:type="dxa"/>
            <w:vMerge/>
            <w:vAlign w:val="center"/>
          </w:tcPr>
          <w:p w:rsidR="00557F58" w:rsidRDefault="00557F58">
            <w:pPr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единиц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единиц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единиц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trHeight w:val="243"/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55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3272" w:type="dxa"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03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1061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92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81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</w:tbl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5.3. Состояние платежной дисциплины и инвестиционной</w:t>
      </w: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политики в жилищно-коммунальном комплексе</w:t>
      </w: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В 2023 году в автономном округе результата «хорошо» достигли: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просроченной кредиторской задолженности </w:t>
      </w:r>
      <w:r>
        <w:rPr>
          <w:color w:val="0D0D0D" w:themeColor="text1" w:themeTint="F2"/>
          <w:sz w:val="28"/>
          <w:szCs w:val="28"/>
          <w:lang w:eastAsia="en-US"/>
        </w:rPr>
        <w:br/>
        <w:t xml:space="preserve">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задолженности» (значение показателя от 0 до 8 процентов) – </w:t>
      </w:r>
      <w:r>
        <w:rPr>
          <w:color w:val="0D0D0D" w:themeColor="text1" w:themeTint="F2"/>
          <w:sz w:val="28"/>
          <w:szCs w:val="28"/>
          <w:lang w:eastAsia="en-US"/>
        </w:rPr>
        <w:br/>
        <w:t>22 муниципальных образования (2022 год – 20);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«фактический уровень собираемости взносов на капитальный ремонт общего имущества многоквартирных домов» (значение показателя от 100 и выше) – 8 муниципальных образований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7);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теплоснабжения» (муниципальные программы в наличии) – 10 муниципальных образований (2022 год – 9);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 по показателю «фактический уровень собираемости платы граждан за предоставленные жилищно-коммунальные услуги за отчетный период» (значение показателя от 100 процентов и выше) – 6 муниципальных образований (2022 год – 7).</w:t>
      </w:r>
    </w:p>
    <w:p w:rsidR="00557F58" w:rsidRDefault="00557F58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both"/>
        <w:outlineLvl w:val="0"/>
        <w:rPr>
          <w:color w:val="0D0D0D" w:themeColor="text1" w:themeTint="F2"/>
          <w:sz w:val="28"/>
          <w:szCs w:val="28"/>
        </w:rPr>
        <w:sectPr w:rsidR="00557F58">
          <w:headerReference w:type="first" r:id="rId31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557F58" w:rsidRDefault="00130666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Таблица 66</w:t>
      </w: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Результаты мониторинга состояния платежной дисциплины и инвестиционной политики </w:t>
      </w: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жилищно-коммунальном комплексе</w:t>
      </w:r>
    </w:p>
    <w:tbl>
      <w:tblPr>
        <w:tblStyle w:val="aff6"/>
        <w:tblW w:w="549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55"/>
        <w:gridCol w:w="983"/>
        <w:gridCol w:w="2549"/>
        <w:gridCol w:w="983"/>
        <w:gridCol w:w="2060"/>
        <w:gridCol w:w="1301"/>
        <w:gridCol w:w="13"/>
        <w:gridCol w:w="2047"/>
        <w:gridCol w:w="983"/>
        <w:gridCol w:w="2060"/>
      </w:tblGrid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  <w:sz w:val="19"/>
                <w:szCs w:val="19"/>
              </w:rPr>
            </w:pPr>
            <w:r>
              <w:rPr>
                <w:bCs/>
                <w:color w:val="0D0D0D" w:themeColor="text1" w:themeTint="F2"/>
                <w:sz w:val="19"/>
                <w:szCs w:val="19"/>
              </w:rPr>
              <w:t>№ п/п</w:t>
            </w:r>
          </w:p>
        </w:tc>
        <w:tc>
          <w:tcPr>
            <w:tcW w:w="2155" w:type="dxa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  <w:sz w:val="19"/>
                <w:szCs w:val="19"/>
              </w:rPr>
            </w:pPr>
            <w:r>
              <w:rPr>
                <w:color w:val="0D0D0D" w:themeColor="text1" w:themeTint="F2"/>
                <w:sz w:val="19"/>
                <w:szCs w:val="19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3532" w:type="dxa"/>
            <w:gridSpan w:val="2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  <w:sz w:val="19"/>
                <w:szCs w:val="19"/>
              </w:rPr>
            </w:pPr>
            <w:r>
              <w:rPr>
                <w:bCs/>
                <w:color w:val="0D0D0D" w:themeColor="text1" w:themeTint="F2"/>
                <w:sz w:val="19"/>
                <w:szCs w:val="19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</w:t>
            </w:r>
          </w:p>
        </w:tc>
        <w:tc>
          <w:tcPr>
            <w:tcW w:w="3043" w:type="dxa"/>
            <w:gridSpan w:val="2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  <w:sz w:val="19"/>
                <w:szCs w:val="19"/>
              </w:rPr>
            </w:pPr>
            <w:r>
              <w:rPr>
                <w:bCs/>
                <w:color w:val="0D0D0D" w:themeColor="text1" w:themeTint="F2"/>
                <w:sz w:val="19"/>
                <w:szCs w:val="19"/>
              </w:rPr>
              <w:t>Фактический уровень собираемости взносов на капитальный ремонт общего имущества многоквартирных домов</w:t>
            </w:r>
          </w:p>
        </w:tc>
        <w:tc>
          <w:tcPr>
            <w:tcW w:w="3361" w:type="dxa"/>
            <w:gridSpan w:val="3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  <w:sz w:val="19"/>
                <w:szCs w:val="19"/>
              </w:rPr>
            </w:pPr>
            <w:r>
              <w:rPr>
                <w:bCs/>
                <w:color w:val="0D0D0D" w:themeColor="text1" w:themeTint="F2"/>
                <w:sz w:val="19"/>
                <w:szCs w:val="19"/>
              </w:rPr>
              <w:t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</w:t>
            </w:r>
          </w:p>
        </w:tc>
        <w:tc>
          <w:tcPr>
            <w:tcW w:w="3043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sz w:val="19"/>
                <w:szCs w:val="19"/>
              </w:rPr>
            </w:pPr>
            <w:r>
              <w:rPr>
                <w:color w:val="0D0D0D" w:themeColor="text1" w:themeTint="F2"/>
                <w:sz w:val="19"/>
                <w:szCs w:val="19"/>
                <w:lang w:eastAsia="en-US"/>
              </w:rPr>
              <w:t>Фактический уровень собираемости платы граждан за предоставленные жилищно-коммунальные услуги за отчетный период</w:t>
            </w:r>
          </w:p>
        </w:tc>
      </w:tr>
      <w:tr w:rsidR="00557F58">
        <w:tc>
          <w:tcPr>
            <w:tcW w:w="567" w:type="dxa"/>
          </w:tcPr>
          <w:p w:rsidR="00557F58" w:rsidRDefault="00557F58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155" w:type="dxa"/>
          </w:tcPr>
          <w:p w:rsidR="00557F58" w:rsidRDefault="00557F58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значение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результат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значение 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результат</w:t>
            </w:r>
          </w:p>
        </w:tc>
        <w:tc>
          <w:tcPr>
            <w:tcW w:w="1314" w:type="dxa"/>
            <w:gridSpan w:val="2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значение </w:t>
            </w:r>
          </w:p>
        </w:tc>
        <w:tc>
          <w:tcPr>
            <w:tcW w:w="2047" w:type="dxa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результат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значение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результат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98,4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 xml:space="preserve">удовлетворительно 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98,1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109,6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105,0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101,2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103,2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 xml:space="preserve">неудовлетворительно 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100,6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101,7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98,7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99,5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99,7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93,4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разработке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 xml:space="preserve">удовлетворительно 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95,6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100,1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98,6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  <w:r>
              <w:rPr>
                <w:color w:val="0D0D0D" w:themeColor="text1" w:themeTint="F2"/>
                <w:highlight w:val="yellow"/>
              </w:rPr>
              <w:t xml:space="preserve"> 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97,2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 xml:space="preserve">удовлетворительно 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 xml:space="preserve">неудовлетворительно 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96,3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не</w:t>
            </w: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108,9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98,4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 xml:space="preserve">удовлетворительно 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103,6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97,3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100,5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100,6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101,9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96,6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95,3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89,0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96,0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99,3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100,7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99,4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98,2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99,0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98,7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98,4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96,0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 xml:space="preserve">неудовлетворительно 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94,5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103,3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в наличии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97,0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удовлетворительно</w:t>
            </w:r>
          </w:p>
        </w:tc>
      </w:tr>
      <w:tr w:rsidR="00557F58">
        <w:tc>
          <w:tcPr>
            <w:tcW w:w="56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22.</w:t>
            </w:r>
          </w:p>
        </w:tc>
        <w:tc>
          <w:tcPr>
            <w:tcW w:w="2155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0,0</w:t>
            </w:r>
          </w:p>
        </w:tc>
        <w:tc>
          <w:tcPr>
            <w:tcW w:w="2549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хорошо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94,4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1301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отсутствуют</w:t>
            </w:r>
          </w:p>
        </w:tc>
        <w:tc>
          <w:tcPr>
            <w:tcW w:w="2060" w:type="dxa"/>
            <w:gridSpan w:val="2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</w:rPr>
              <w:t>93,8</w:t>
            </w:r>
          </w:p>
        </w:tc>
        <w:tc>
          <w:tcPr>
            <w:tcW w:w="2060" w:type="dxa"/>
          </w:tcPr>
          <w:p w:rsidR="00557F58" w:rsidRDefault="00130666">
            <w:pPr>
              <w:jc w:val="center"/>
              <w:rPr>
                <w:color w:val="0D0D0D" w:themeColor="text1" w:themeTint="F2"/>
                <w:highlight w:val="white"/>
              </w:rPr>
            </w:pPr>
            <w:r>
              <w:rPr>
                <w:color w:val="0D0D0D" w:themeColor="text1" w:themeTint="F2"/>
                <w:highlight w:val="white"/>
              </w:rPr>
              <w:t>неудовлетворительно</w:t>
            </w:r>
          </w:p>
        </w:tc>
      </w:tr>
    </w:tbl>
    <w:p w:rsidR="00557F58" w:rsidRDefault="00557F58">
      <w:pPr>
        <w:outlineLvl w:val="0"/>
        <w:rPr>
          <w:color w:val="0D0D0D" w:themeColor="text1" w:themeTint="F2"/>
          <w:sz w:val="28"/>
          <w:szCs w:val="28"/>
        </w:rPr>
        <w:sectPr w:rsidR="00557F58">
          <w:pgSz w:w="16838" w:h="11906" w:orient="landscape"/>
          <w:pgMar w:top="1559" w:right="1418" w:bottom="1701" w:left="1134" w:header="709" w:footer="709" w:gutter="0"/>
          <w:cols w:space="708"/>
          <w:docGrid w:linePitch="360"/>
        </w:sectPr>
      </w:pP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 xml:space="preserve">5.4. Результаты мониторинга эффективности деятельности по организации мероприятий при осуществлении деятельности по обращению </w:t>
      </w: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с животными без владельцев</w:t>
      </w: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в автономном округе результата «5 баллов» достигли: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«доля животных без владельцев (собак), возвращенных в прежние места обитания» (значение показателя не более 20 процентов) – 18 муниципальных образований (2022 год – 16);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животных без владельцев (собак), переданных новым владельцам» (значение показателя от 80 процентов и выше) – </w:t>
      </w:r>
      <w:r>
        <w:rPr>
          <w:color w:val="0D0D0D" w:themeColor="text1" w:themeTint="F2"/>
          <w:sz w:val="28"/>
          <w:szCs w:val="28"/>
          <w:lang w:eastAsia="en-US"/>
        </w:rPr>
        <w:br/>
        <w:t>11 муниципальных образований (2022 год – 9);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«снижение численности животных без владельцев (собак) к предыдущему году, в размере не менее 15 %» – 7 муниципальных образований (2022 год – 15);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«количество обращений граждан в расчете на 10 тыс. человек населения» (значение показателя меньше или равно 5 обращениям на 10,0 тыс. населения) – 6 муниципальных образований (2022 год – 6);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 по показателю «количество нападений собак в расчете на 10 тыс. человек населения» (нападения отсутствуют) – 0 муниципальных образований (2022 год – 0);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выполненных заявок на отлов собак» (значение показателя от 80 процентов и выше) – 9 муниципальных образований </w:t>
      </w:r>
      <w:r>
        <w:rPr>
          <w:color w:val="0D0D0D" w:themeColor="text1" w:themeTint="F2"/>
          <w:sz w:val="28"/>
          <w:szCs w:val="28"/>
          <w:lang w:eastAsia="en-US"/>
        </w:rPr>
        <w:br/>
        <w:t>(2022 год – 16);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«обеспеченность территорий городских округов и муниципальных районов автономного округа площадками для выгула и дрессировки собак» (значение показателя от 90 процентов и выше) – </w:t>
      </w:r>
      <w:r>
        <w:rPr>
          <w:color w:val="0D0D0D" w:themeColor="text1" w:themeTint="F2"/>
          <w:sz w:val="28"/>
          <w:szCs w:val="28"/>
          <w:lang w:eastAsia="en-US"/>
        </w:rPr>
        <w:br/>
        <w:t>19 муниципальных образований (2022 год – 13).</w:t>
      </w:r>
    </w:p>
    <w:p w:rsidR="00557F58" w:rsidRDefault="00557F58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ind w:firstLine="709"/>
        <w:jc w:val="both"/>
        <w:outlineLvl w:val="0"/>
        <w:rPr>
          <w:color w:val="0D0D0D" w:themeColor="text1" w:themeTint="F2"/>
        </w:rPr>
      </w:pPr>
    </w:p>
    <w:p w:rsidR="00557F58" w:rsidRDefault="00557F58">
      <w:pPr>
        <w:ind w:firstLine="709"/>
        <w:jc w:val="both"/>
        <w:outlineLvl w:val="0"/>
        <w:rPr>
          <w:color w:val="0D0D0D" w:themeColor="text1" w:themeTint="F2"/>
        </w:rPr>
        <w:sectPr w:rsidR="00557F58">
          <w:headerReference w:type="default" r:id="rId32"/>
          <w:pgSz w:w="11906" w:h="16838"/>
          <w:pgMar w:top="1418" w:right="1276" w:bottom="1134" w:left="1559" w:header="720" w:footer="720" w:gutter="0"/>
          <w:cols w:space="720"/>
          <w:titlePg/>
          <w:docGrid w:linePitch="360"/>
        </w:sectPr>
      </w:pPr>
    </w:p>
    <w:p w:rsidR="00557F58" w:rsidRDefault="00130666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Таблица 67</w:t>
      </w:r>
    </w:p>
    <w:p w:rsidR="00557F58" w:rsidRDefault="00557F58">
      <w:pPr>
        <w:ind w:firstLine="709"/>
        <w:jc w:val="both"/>
        <w:outlineLvl w:val="0"/>
        <w:rPr>
          <w:color w:val="0D0D0D" w:themeColor="text1" w:themeTint="F2"/>
        </w:rPr>
      </w:pPr>
    </w:p>
    <w:p w:rsidR="00557F58" w:rsidRDefault="00130666">
      <w:pPr>
        <w:ind w:firstLine="709"/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Результаты мониторинга эффективности деятельности по организации мероприятий при осуществлении деятельности по обращению с животными без владельцев</w:t>
      </w:r>
    </w:p>
    <w:p w:rsidR="00557F58" w:rsidRDefault="00557F58">
      <w:pPr>
        <w:ind w:firstLine="709"/>
        <w:jc w:val="both"/>
        <w:outlineLvl w:val="0"/>
        <w:rPr>
          <w:color w:val="0D0D0D" w:themeColor="text1" w:themeTint="F2"/>
        </w:rPr>
      </w:pPr>
    </w:p>
    <w:tbl>
      <w:tblPr>
        <w:tblStyle w:val="aff6"/>
        <w:tblW w:w="537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300"/>
        <w:gridCol w:w="983"/>
        <w:gridCol w:w="741"/>
        <w:gridCol w:w="983"/>
        <w:gridCol w:w="741"/>
        <w:gridCol w:w="983"/>
        <w:gridCol w:w="741"/>
        <w:gridCol w:w="983"/>
        <w:gridCol w:w="741"/>
        <w:gridCol w:w="983"/>
        <w:gridCol w:w="741"/>
        <w:gridCol w:w="983"/>
        <w:gridCol w:w="741"/>
        <w:gridCol w:w="1186"/>
        <w:gridCol w:w="850"/>
      </w:tblGrid>
      <w:tr w:rsidR="00557F58">
        <w:tc>
          <w:tcPr>
            <w:tcW w:w="488" w:type="dxa"/>
            <w:vMerge w:val="restart"/>
          </w:tcPr>
          <w:p w:rsidR="00557F58" w:rsidRDefault="00130666">
            <w:pPr>
              <w:jc w:val="center"/>
              <w:outlineLvl w:val="0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№ п/п</w:t>
            </w:r>
          </w:p>
        </w:tc>
        <w:tc>
          <w:tcPr>
            <w:tcW w:w="2300" w:type="dxa"/>
            <w:vMerge w:val="restart"/>
          </w:tcPr>
          <w:p w:rsidR="00557F58" w:rsidRDefault="00130666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1724" w:type="dxa"/>
            <w:gridSpan w:val="2"/>
          </w:tcPr>
          <w:p w:rsidR="00557F58" w:rsidRDefault="00130666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Доля животных без владельцев (собак), возвращенных в прежние места обитания</w:t>
            </w:r>
          </w:p>
        </w:tc>
        <w:tc>
          <w:tcPr>
            <w:tcW w:w="1724" w:type="dxa"/>
            <w:gridSpan w:val="2"/>
          </w:tcPr>
          <w:p w:rsidR="00557F58" w:rsidRDefault="00130666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Доля животных без владельцев (собак), переданных новым владельцам</w:t>
            </w:r>
          </w:p>
        </w:tc>
        <w:tc>
          <w:tcPr>
            <w:tcW w:w="1724" w:type="dxa"/>
            <w:gridSpan w:val="2"/>
          </w:tcPr>
          <w:p w:rsidR="00557F58" w:rsidRDefault="00130666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Снижение численности животных без владельцев (собак) к предыдущему году, в размере не менее 15 %</w:t>
            </w:r>
          </w:p>
        </w:tc>
        <w:tc>
          <w:tcPr>
            <w:tcW w:w="1724" w:type="dxa"/>
            <w:gridSpan w:val="2"/>
          </w:tcPr>
          <w:p w:rsidR="00557F58" w:rsidRDefault="00130666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Количество обращений граждан в расчете на 10 тыс. человек населения</w:t>
            </w:r>
          </w:p>
        </w:tc>
        <w:tc>
          <w:tcPr>
            <w:tcW w:w="1724" w:type="dxa"/>
            <w:gridSpan w:val="2"/>
          </w:tcPr>
          <w:p w:rsidR="00557F58" w:rsidRDefault="00130666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Количество нападений собак в расчете на 10 тыс. человек населения</w:t>
            </w:r>
          </w:p>
        </w:tc>
        <w:tc>
          <w:tcPr>
            <w:tcW w:w="1724" w:type="dxa"/>
            <w:gridSpan w:val="2"/>
          </w:tcPr>
          <w:p w:rsidR="00557F58" w:rsidRDefault="00130666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Доля выполненных заявок на отлов собак</w:t>
            </w:r>
          </w:p>
        </w:tc>
        <w:tc>
          <w:tcPr>
            <w:tcW w:w="2036" w:type="dxa"/>
            <w:gridSpan w:val="2"/>
          </w:tcPr>
          <w:p w:rsidR="00557F58" w:rsidRDefault="00130666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Обеспеченность территорий городских округов и муниципальных районов автономного округа площадками для выгула и дрессировки собак</w:t>
            </w:r>
          </w:p>
        </w:tc>
      </w:tr>
      <w:tr w:rsidR="00557F58">
        <w:tc>
          <w:tcPr>
            <w:tcW w:w="488" w:type="dxa"/>
            <w:vMerge/>
          </w:tcPr>
          <w:p w:rsidR="00557F58" w:rsidRDefault="00557F58">
            <w:pPr>
              <w:jc w:val="center"/>
              <w:outlineLvl w:val="0"/>
              <w:rPr>
                <w:rFonts w:ascii="Calibri" w:eastAsia="Calibri" w:hAnsi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</w:tcPr>
          <w:p w:rsidR="00557F58" w:rsidRDefault="00557F58">
            <w:pPr>
              <w:rPr>
                <w:rFonts w:ascii="Calibri" w:eastAsia="Calibri" w:hAnsi="Calibr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значение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баллы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 xml:space="preserve">значение 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rFonts w:ascii="Calibri" w:eastAsia="Calibri" w:hAnsi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баллы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 xml:space="preserve">значение 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баллы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 xml:space="preserve">значение 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баллы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значение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баллы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значение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баллы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 xml:space="preserve">значение 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баллы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-100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1,1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4,8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88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101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Белоярский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194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-39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3,1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6,6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132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Нефтеюганский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301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-55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7,3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4,1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86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324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Лангепас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8,1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9,5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83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88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Когалым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121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58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5,5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1,6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214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97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3,9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2,3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83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445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Нефтеюганск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113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-59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8,5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4,8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26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46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Нягань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44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-25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12,4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10,0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76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60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Пыть-Ях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42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-25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24,9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7,0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520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Сургутский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64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5,6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3,9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135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Нижневартовск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63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59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9,8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7,0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64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80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Березовский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114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17,6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15,8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167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Радужный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3,2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4,8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73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344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Кондинский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22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1 557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9,2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9,5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78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186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Мегион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312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-7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29,7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13,2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69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192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Октябрьский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1 425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9,0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9,3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92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118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Покачи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63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14,9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6,8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235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Сургут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31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64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56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2,8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28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Ханты-Мансийск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16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89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7,0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4,9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58%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104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Советский район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175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47,3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18,2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60%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81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Югорск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36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156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41,9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10,7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53%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198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  <w:tr w:rsidR="00557F58">
        <w:tc>
          <w:tcPr>
            <w:tcW w:w="48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lastRenderedPageBreak/>
              <w:t>22.</w:t>
            </w:r>
          </w:p>
        </w:tc>
        <w:tc>
          <w:tcPr>
            <w:tcW w:w="2300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Урай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90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100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-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0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30,8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10,9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</w:t>
            </w:r>
          </w:p>
        </w:tc>
        <w:tc>
          <w:tcPr>
            <w:tcW w:w="98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39%</w:t>
            </w:r>
          </w:p>
        </w:tc>
        <w:tc>
          <w:tcPr>
            <w:tcW w:w="74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</w:t>
            </w:r>
          </w:p>
        </w:tc>
        <w:tc>
          <w:tcPr>
            <w:tcW w:w="1186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185</w:t>
            </w:r>
          </w:p>
        </w:tc>
        <w:tc>
          <w:tcPr>
            <w:tcW w:w="850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5</w:t>
            </w:r>
          </w:p>
        </w:tc>
      </w:tr>
    </w:tbl>
    <w:p w:rsidR="00557F58" w:rsidRDefault="00557F58">
      <w:pPr>
        <w:ind w:firstLine="709"/>
        <w:jc w:val="both"/>
        <w:outlineLvl w:val="0"/>
        <w:rPr>
          <w:color w:val="0D0D0D" w:themeColor="text1" w:themeTint="F2"/>
        </w:rPr>
      </w:pPr>
    </w:p>
    <w:p w:rsidR="00557F58" w:rsidRDefault="00557F58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  <w:sectPr w:rsidR="00557F58">
          <w:pgSz w:w="16838" w:h="11906" w:orient="landscape"/>
          <w:pgMar w:top="1418" w:right="1418" w:bottom="1134" w:left="1304" w:header="720" w:footer="720" w:gutter="0"/>
          <w:cols w:space="720"/>
          <w:titlePg/>
          <w:docGrid w:linePitch="360"/>
        </w:sectPr>
      </w:pPr>
    </w:p>
    <w:p w:rsidR="00557F58" w:rsidRDefault="00130666">
      <w:pPr>
        <w:ind w:firstLine="709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lastRenderedPageBreak/>
        <w:t>На основании сводных значений показателей эффективности проведена комплексная оценка эффективности деятельности по организации мероприятий при осуществлении деятельности по обращению с животными без владельцев.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ab/>
      </w:r>
    </w:p>
    <w:p w:rsidR="00557F58" w:rsidRDefault="00130666">
      <w:pPr>
        <w:ind w:firstLine="709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t>В 2023 году Ханты-Мансийский, Нижневартовский, Нефтеюганский и Белоярский районы, Когалым и Лангепас показали «хорошую» организацию мероприятий при осуществлении деятельности по обращению с животными без владельцев.</w:t>
      </w:r>
    </w:p>
    <w:p w:rsidR="00557F58" w:rsidRDefault="00130666">
      <w:pPr>
        <w:ind w:firstLine="709"/>
        <w:contextualSpacing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t>Деятельность Сургута, Ханты-Мансийска, Югорска, Урая и Советского района по итогам работы признана «неудовлетворительной».</w:t>
      </w:r>
    </w:p>
    <w:p w:rsidR="00557F58" w:rsidRDefault="00557F58">
      <w:pPr>
        <w:ind w:firstLine="709"/>
        <w:contextualSpacing/>
        <w:jc w:val="both"/>
        <w:rPr>
          <w:rFonts w:eastAsia="Calibri"/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contextualSpacing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Таблица 68</w:t>
      </w:r>
    </w:p>
    <w:p w:rsidR="00557F58" w:rsidRDefault="00130666">
      <w:pPr>
        <w:contextualSpacing/>
        <w:jc w:val="center"/>
        <w:rPr>
          <w:color w:val="0D0D0D" w:themeColor="text1" w:themeTint="F2"/>
          <w:sz w:val="28"/>
          <w:szCs w:val="28"/>
          <w:lang w:eastAsia="en-US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Комплексная оценка эффективности деятельности по организации мероприятий при осуществлении деятельности по обращению </w:t>
      </w:r>
    </w:p>
    <w:p w:rsidR="00557F58" w:rsidRDefault="00130666">
      <w:pPr>
        <w:contextualSpacing/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с животными без владельцев </w:t>
      </w:r>
    </w:p>
    <w:p w:rsidR="00557F58" w:rsidRDefault="00557F58">
      <w:pPr>
        <w:contextualSpacing/>
        <w:jc w:val="center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4754"/>
        <w:gridCol w:w="1642"/>
        <w:gridCol w:w="2060"/>
      </w:tblGrid>
      <w:tr w:rsidR="00557F58">
        <w:trPr>
          <w:trHeight w:val="169"/>
          <w:jc w:val="center"/>
        </w:trPr>
        <w:tc>
          <w:tcPr>
            <w:tcW w:w="789" w:type="dxa"/>
            <w:vMerge w:val="restart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4754" w:type="dxa"/>
            <w:vMerge w:val="restart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 xml:space="preserve">Наименование городского округа, </w:t>
            </w:r>
          </w:p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муниципального района</w:t>
            </w:r>
          </w:p>
        </w:tc>
        <w:tc>
          <w:tcPr>
            <w:tcW w:w="3744" w:type="dxa"/>
            <w:gridSpan w:val="2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Комплексная оценка</w:t>
            </w:r>
          </w:p>
        </w:tc>
      </w:tr>
      <w:tr w:rsidR="00557F58">
        <w:trPr>
          <w:trHeight w:val="202"/>
          <w:jc w:val="center"/>
        </w:trPr>
        <w:tc>
          <w:tcPr>
            <w:tcW w:w="789" w:type="dxa"/>
            <w:vMerge/>
            <w:vAlign w:val="center"/>
          </w:tcPr>
          <w:p w:rsidR="00557F58" w:rsidRDefault="00557F58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4754" w:type="dxa"/>
            <w:vMerge/>
            <w:vAlign w:val="center"/>
          </w:tcPr>
          <w:p w:rsidR="00557F58" w:rsidRDefault="00557F58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073" w:type="dxa"/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коэффициент</w:t>
            </w:r>
          </w:p>
        </w:tc>
        <w:tc>
          <w:tcPr>
            <w:tcW w:w="1671" w:type="dxa"/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место</w:t>
            </w:r>
          </w:p>
        </w:tc>
      </w:tr>
      <w:tr w:rsidR="00557F58">
        <w:trPr>
          <w:trHeight w:val="163"/>
          <w:jc w:val="center"/>
        </w:trPr>
        <w:tc>
          <w:tcPr>
            <w:tcW w:w="78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4754" w:type="dxa"/>
            <w:tcBorders>
              <w:bottom w:val="single" w:sz="4" w:space="0" w:color="000000"/>
            </w:tcBorders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trHeight w:val="20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4,6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хорошо</w:t>
            </w:r>
          </w:p>
        </w:tc>
      </w:tr>
      <w:tr w:rsidR="00557F58">
        <w:trPr>
          <w:trHeight w:val="18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Белоярский район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4,4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хорошо</w:t>
            </w:r>
          </w:p>
        </w:tc>
      </w:tr>
      <w:tr w:rsidR="00557F58">
        <w:trPr>
          <w:trHeight w:val="18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Нефтеюганский район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4,4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хорошо</w:t>
            </w:r>
          </w:p>
        </w:tc>
      </w:tr>
      <w:tr w:rsidR="00557F58">
        <w:trPr>
          <w:trHeight w:val="17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Лангепас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4,3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хорошо</w:t>
            </w:r>
          </w:p>
        </w:tc>
      </w:tr>
      <w:tr w:rsidR="00557F58">
        <w:trPr>
          <w:trHeight w:val="18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Когалым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4,1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хорошо</w:t>
            </w:r>
          </w:p>
        </w:tc>
      </w:tr>
      <w:tr w:rsidR="00557F58">
        <w:trPr>
          <w:trHeight w:val="172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4,0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хорошо</w:t>
            </w:r>
          </w:p>
        </w:tc>
      </w:tr>
      <w:tr w:rsidR="00557F58">
        <w:trPr>
          <w:trHeight w:val="17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Нефтеюганск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3,6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557F58">
        <w:trPr>
          <w:trHeight w:val="70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Нягань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3,6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557F58">
        <w:trPr>
          <w:trHeight w:val="169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Пыть-Ях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3,6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557F58">
        <w:trPr>
          <w:trHeight w:val="17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Сургутский район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3,6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557F58">
        <w:trPr>
          <w:trHeight w:val="177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Нижневартовск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3,3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557F58">
        <w:trPr>
          <w:trHeight w:val="16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Березовский район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3,1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557F58">
        <w:trPr>
          <w:trHeight w:val="17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Радужный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3,1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557F58">
        <w:trPr>
          <w:trHeight w:val="162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Кондинский район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3,0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557F58">
        <w:trPr>
          <w:trHeight w:val="16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Мегион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3,0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557F58">
        <w:trPr>
          <w:trHeight w:val="126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Октябрьский район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3,0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557F58">
        <w:trPr>
          <w:trHeight w:val="13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Покачи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3,0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удовлетворительно</w:t>
            </w:r>
          </w:p>
        </w:tc>
      </w:tr>
      <w:tr w:rsidR="00557F58">
        <w:trPr>
          <w:trHeight w:val="120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Сургут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2,9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неудовлетворительно</w:t>
            </w:r>
          </w:p>
        </w:tc>
      </w:tr>
      <w:tr w:rsidR="00557F58">
        <w:trPr>
          <w:trHeight w:val="125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Ханты-Мансийск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2,9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неудовлетворительно</w:t>
            </w:r>
          </w:p>
        </w:tc>
      </w:tr>
      <w:tr w:rsidR="00557F58">
        <w:trPr>
          <w:trHeight w:val="114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Советский район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2,4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неудовлетворительно</w:t>
            </w:r>
          </w:p>
        </w:tc>
      </w:tr>
      <w:tr w:rsidR="00557F58">
        <w:trPr>
          <w:trHeight w:val="118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Югорск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2,4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неудовлетворительно</w:t>
            </w:r>
          </w:p>
        </w:tc>
      </w:tr>
      <w:tr w:rsidR="00557F58">
        <w:trPr>
          <w:trHeight w:val="121"/>
          <w:jc w:val="center"/>
        </w:trPr>
        <w:tc>
          <w:tcPr>
            <w:tcW w:w="789" w:type="dxa"/>
            <w:tcBorders>
              <w:right w:val="single" w:sz="4" w:space="0" w:color="000000"/>
            </w:tcBorders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Урай</w:t>
            </w:r>
          </w:p>
        </w:tc>
        <w:tc>
          <w:tcPr>
            <w:tcW w:w="207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2,1</w:t>
            </w:r>
          </w:p>
        </w:tc>
        <w:tc>
          <w:tcPr>
            <w:tcW w:w="167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неудовлетворительно</w:t>
            </w:r>
          </w:p>
        </w:tc>
      </w:tr>
    </w:tbl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5.5. Результаты мониторинга эффективности деятельности </w:t>
      </w: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обращению с отходами</w:t>
      </w: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в автономном округе результата «5 баллов» достигли: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показателю «количество несанкционированных свалок отходов» (свалки отсутствуют) – 9 муниципальных образований (2022 год – 6);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по показателю «доля мест (площадок) накопления твердых коммунальных отходов, соответствующих требованиям федерального и </w:t>
      </w:r>
      <w:r>
        <w:rPr>
          <w:color w:val="0D0D0D" w:themeColor="text1" w:themeTint="F2"/>
          <w:sz w:val="28"/>
          <w:szCs w:val="28"/>
          <w:lang w:eastAsia="en-US"/>
        </w:rPr>
        <w:lastRenderedPageBreak/>
        <w:t>законодательства автономного округа» (значение показателя от 80 процентов и выше) – 2 муниципальных образования (2022 год – 2).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По комплексной оценке эффективности деятельности по обращению с отходами результата «хорошо» достигли Югорск, Покачи и Березовский район (2022 год –Югорск).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Результаты мониторинга эффективности деятельности по обращению с отходами представлены в таблице 69.</w:t>
      </w: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color w:val="0D0D0D" w:themeColor="text1" w:themeTint="F2"/>
          <w:sz w:val="28"/>
          <w:szCs w:val="28"/>
        </w:rPr>
        <w:sectPr w:rsidR="00557F58">
          <w:pgSz w:w="11906" w:h="16838"/>
          <w:pgMar w:top="1418" w:right="1276" w:bottom="1134" w:left="1559" w:header="720" w:footer="720" w:gutter="0"/>
          <w:cols w:space="720"/>
          <w:titlePg/>
          <w:docGrid w:linePitch="360"/>
        </w:sectPr>
      </w:pPr>
    </w:p>
    <w:p w:rsidR="00557F58" w:rsidRDefault="00130666">
      <w:pPr>
        <w:jc w:val="right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Таблица 69</w:t>
      </w:r>
    </w:p>
    <w:p w:rsidR="00557F58" w:rsidRDefault="00130666">
      <w:pPr>
        <w:ind w:firstLine="709"/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Результаты мониторинга эффективности деятельности по обращению с отходами</w:t>
      </w:r>
    </w:p>
    <w:p w:rsidR="00557F58" w:rsidRDefault="00557F58">
      <w:pPr>
        <w:ind w:firstLine="709"/>
        <w:jc w:val="center"/>
        <w:outlineLvl w:val="0"/>
        <w:rPr>
          <w:color w:val="0D0D0D" w:themeColor="text1" w:themeTint="F2"/>
          <w:sz w:val="28"/>
          <w:szCs w:val="28"/>
        </w:rPr>
      </w:pPr>
    </w:p>
    <w:tbl>
      <w:tblPr>
        <w:tblStyle w:val="aff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411"/>
        <w:gridCol w:w="1413"/>
        <w:gridCol w:w="1412"/>
        <w:gridCol w:w="848"/>
        <w:gridCol w:w="2553"/>
        <w:gridCol w:w="1532"/>
        <w:gridCol w:w="1280"/>
        <w:gridCol w:w="2336"/>
      </w:tblGrid>
      <w:tr w:rsidR="00557F58">
        <w:tc>
          <w:tcPr>
            <w:tcW w:w="664" w:type="dxa"/>
            <w:vMerge w:val="restart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№ п/п</w:t>
            </w:r>
          </w:p>
        </w:tc>
        <w:tc>
          <w:tcPr>
            <w:tcW w:w="2421" w:type="dxa"/>
            <w:vMerge w:val="restart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3686" w:type="dxa"/>
            <w:gridSpan w:val="3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Количество несанкционированных свалок отходов</w:t>
            </w:r>
          </w:p>
        </w:tc>
        <w:tc>
          <w:tcPr>
            <w:tcW w:w="4101" w:type="dxa"/>
            <w:gridSpan w:val="2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Доля мест (площадок) накопления твердых коммунальных отходов, соответствующих требованиям федерального и законодательства автономного округа</w:t>
            </w:r>
          </w:p>
        </w:tc>
        <w:tc>
          <w:tcPr>
            <w:tcW w:w="3630" w:type="dxa"/>
            <w:gridSpan w:val="2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Рейтинг эффективности деятельности МО по обращению с отходами</w:t>
            </w:r>
          </w:p>
        </w:tc>
      </w:tr>
      <w:tr w:rsidR="00557F58">
        <w:tc>
          <w:tcPr>
            <w:tcW w:w="664" w:type="dxa"/>
            <w:vMerge/>
          </w:tcPr>
          <w:p w:rsidR="00557F58" w:rsidRDefault="00557F58">
            <w:pPr>
              <w:jc w:val="center"/>
              <w:outlineLvl w:val="0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2421" w:type="dxa"/>
            <w:vMerge/>
          </w:tcPr>
          <w:p w:rsidR="00557F58" w:rsidRDefault="00557F58">
            <w:pPr>
              <w:jc w:val="center"/>
              <w:outlineLvl w:val="0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141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значение показателя на 31.12.2022, ед.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значение показателя на 31.12.2023, ед.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баллы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значение показателя, %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баллы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итоговый бал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  <w:lang w:eastAsia="en-US"/>
              </w:rPr>
              <w:t>комплексная оценка</w:t>
            </w:r>
          </w:p>
        </w:tc>
      </w:tr>
      <w:tr w:rsidR="00557F58">
        <w:trPr>
          <w:trHeight w:val="239"/>
        </w:trPr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93,1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хорошо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95,4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хорошо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74,0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4,5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хорошо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44,8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49,3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47,4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44,2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65,6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48,9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44,2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3,5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74,2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3,5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59,4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3,5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32,2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3,5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32,0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3,5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59,4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3,5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удовлетворительно 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39,4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неудовлетворительно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116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43,1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неудовлетворительно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21,7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неудовлетворительно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14,4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неудовлетворительно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16,7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неудовлетворительно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19,6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2,5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неудовлетворительно</w:t>
            </w:r>
          </w:p>
        </w:tc>
      </w:tr>
      <w:tr w:rsidR="00557F58">
        <w:tc>
          <w:tcPr>
            <w:tcW w:w="664" w:type="dxa"/>
          </w:tcPr>
          <w:p w:rsidR="00557F58" w:rsidRDefault="00130666">
            <w:pPr>
              <w:jc w:val="center"/>
              <w:outlineLvl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421" w:type="dxa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41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851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2563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22,9</w:t>
            </w:r>
          </w:p>
        </w:tc>
        <w:tc>
          <w:tcPr>
            <w:tcW w:w="1538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28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2345" w:type="dxa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неудовлетворительно</w:t>
            </w:r>
          </w:p>
        </w:tc>
      </w:tr>
    </w:tbl>
    <w:p w:rsidR="00557F58" w:rsidRDefault="00557F58">
      <w:pPr>
        <w:ind w:firstLine="709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tabs>
          <w:tab w:val="left" w:pos="13181"/>
        </w:tabs>
        <w:ind w:right="1843"/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  <w:sectPr w:rsidR="00557F58">
          <w:pgSz w:w="16838" w:h="11906" w:orient="landscape"/>
          <w:pgMar w:top="1559" w:right="1247" w:bottom="1276" w:left="1134" w:header="720" w:footer="720" w:gutter="0"/>
          <w:cols w:space="720"/>
          <w:titlePg/>
          <w:docGrid w:linePitch="360"/>
        </w:sectPr>
      </w:pP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>5.6. Результаты оценки развития наркоситуации за 2023 год</w:t>
      </w:r>
    </w:p>
    <w:p w:rsidR="00557F58" w:rsidRDefault="00557F58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outlineLvl w:val="0"/>
        <w:rPr>
          <w:color w:val="0D0D0D" w:themeColor="text1" w:themeTint="F2"/>
        </w:rPr>
      </w:pPr>
      <w:r>
        <w:rPr>
          <w:color w:val="0D0D0D" w:themeColor="text1" w:themeTint="F2"/>
          <w:sz w:val="28"/>
          <w:szCs w:val="28"/>
          <w:lang w:eastAsia="en-US"/>
        </w:rPr>
        <w:t>В 2023 году в автономном округе по результатам оценки развития наркоситуации зафиксировано: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предкризисная ситуация – в Лангепасе (72,2 балла из 100) и Сургуте (67,7 балла из 100);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напряженная ситуация – в Ханты-Мансийске, Когалыме, Мегионе, Нижневартовске, Урае, Югорске и в Сургутском районе;</w:t>
      </w: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нейтральная ситуация – в Нефтеюганске, Нягани, Покачи, Пыть-Яхе, Радужном; в Белоярском, Березовском, Кондинском, Нефтеюганском, Нижневартовском, Октябрьском, Советском, Ханты-Мансийском районах.</w:t>
      </w: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  <w:sectPr w:rsidR="00557F58">
          <w:pgSz w:w="11906" w:h="16838"/>
          <w:pgMar w:top="1418" w:right="1276" w:bottom="1134" w:left="1559" w:header="709" w:footer="709" w:gutter="0"/>
          <w:cols w:space="720"/>
          <w:titlePg/>
          <w:docGrid w:linePitch="360"/>
        </w:sectPr>
      </w:pPr>
    </w:p>
    <w:p w:rsidR="00557F58" w:rsidRDefault="00130666">
      <w:pPr>
        <w:jc w:val="right"/>
        <w:outlineLvl w:val="0"/>
        <w:rPr>
          <w:color w:val="0D0D0D" w:themeColor="text1" w:themeTint="F2"/>
        </w:rPr>
      </w:pPr>
      <w:r>
        <w:rPr>
          <w:color w:val="0D0D0D" w:themeColor="text1" w:themeTint="F2"/>
          <w:sz w:val="28"/>
          <w:szCs w:val="28"/>
          <w:lang w:eastAsia="en-US"/>
        </w:rPr>
        <w:lastRenderedPageBreak/>
        <w:t xml:space="preserve">Таблица </w:t>
      </w:r>
      <w:r>
        <w:rPr>
          <w:color w:val="0D0D0D" w:themeColor="text1" w:themeTint="F2"/>
          <w:sz w:val="28"/>
          <w:szCs w:val="28"/>
        </w:rPr>
        <w:t>70</w:t>
      </w:r>
    </w:p>
    <w:p w:rsidR="00557F58" w:rsidRDefault="00130666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Результаты оценки развития наркоситуации в 2023 году</w:t>
      </w:r>
    </w:p>
    <w:p w:rsidR="00557F58" w:rsidRDefault="00557F58">
      <w:pPr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ff6"/>
        <w:tblW w:w="145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" w:author="KuzminII" w:date="2024-07-25T11:14:00Z">
          <w:tblPr>
            <w:tblW w:w="15452" w:type="dxa"/>
            <w:tblInd w:w="-289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304"/>
        <w:gridCol w:w="1354"/>
        <w:gridCol w:w="1626"/>
        <w:gridCol w:w="1634"/>
        <w:gridCol w:w="1580"/>
        <w:gridCol w:w="1680"/>
        <w:gridCol w:w="992"/>
        <w:gridCol w:w="1843"/>
        <w:gridCol w:w="1134"/>
        <w:gridCol w:w="391"/>
        <w:tblGridChange w:id="2">
          <w:tblGrid>
            <w:gridCol w:w="2304"/>
            <w:gridCol w:w="1354"/>
            <w:gridCol w:w="1626"/>
            <w:gridCol w:w="1634"/>
            <w:gridCol w:w="1580"/>
            <w:gridCol w:w="1680"/>
            <w:gridCol w:w="992"/>
            <w:gridCol w:w="1843"/>
            <w:gridCol w:w="1134"/>
            <w:gridCol w:w="1305"/>
          </w:tblGrid>
        </w:tblGridChange>
      </w:tblGrid>
      <w:tr w:rsidR="00557F58" w:rsidTr="00557F58">
        <w:trPr>
          <w:trHeight w:val="1869"/>
        </w:trPr>
        <w:tc>
          <w:tcPr>
            <w:tcW w:w="2304" w:type="dxa"/>
            <w:tcPrChange w:id="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1354" w:type="dxa"/>
            <w:tcPrChange w:id="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ОП1. Вовлеченность населения в незаконный оборот наркотиков</w:t>
            </w:r>
          </w:p>
        </w:tc>
        <w:tc>
          <w:tcPr>
            <w:tcW w:w="1626" w:type="dxa"/>
            <w:tcPrChange w:id="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ОП2. Уровень вовлеченности несовершеннолетних в незаконный оборот наркотиков </w:t>
            </w:r>
          </w:p>
        </w:tc>
        <w:tc>
          <w:tcPr>
            <w:tcW w:w="1634" w:type="dxa"/>
            <w:tcPrChange w:id="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ОП3. Криминогенность наркомании</w:t>
            </w:r>
          </w:p>
        </w:tc>
        <w:tc>
          <w:tcPr>
            <w:tcW w:w="1580" w:type="dxa"/>
            <w:tcPrChange w:id="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ОП4. Уровень криминогенности наркомании среди несовершеннолетних </w:t>
            </w:r>
          </w:p>
        </w:tc>
        <w:tc>
          <w:tcPr>
            <w:tcW w:w="1680" w:type="dxa"/>
            <w:tcPrChange w:id="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ОП7. Уровень первичной заболеваемости наркологическими расстройствами, связанными с употреблением наркотиков</w:t>
            </w:r>
          </w:p>
        </w:tc>
        <w:tc>
          <w:tcPr>
            <w:tcW w:w="992" w:type="dxa"/>
            <w:tcPrChange w:id="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ОП8. Острые отравления наркотиками</w:t>
            </w:r>
          </w:p>
        </w:tc>
        <w:tc>
          <w:tcPr>
            <w:tcW w:w="1843" w:type="dxa"/>
            <w:tcPrChange w:id="1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ОП9. Острые отравления наркотиками среди несовершеннолетних</w:t>
            </w:r>
          </w:p>
        </w:tc>
        <w:tc>
          <w:tcPr>
            <w:tcW w:w="1134" w:type="dxa"/>
            <w:tcPrChange w:id="1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ОП10. Смертность, связанная с острым отравлением наркотиками</w:t>
            </w:r>
          </w:p>
        </w:tc>
        <w:tc>
          <w:tcPr>
            <w:tcW w:w="391" w:type="dxa"/>
            <w:tcPrChange w:id="1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ПрО. Предварительная итоговая оценка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1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1354" w:type="dxa"/>
            <w:tcPrChange w:id="1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1626" w:type="dxa"/>
            <w:tcPrChange w:id="1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1634" w:type="dxa"/>
            <w:tcPrChange w:id="1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1580" w:type="dxa"/>
            <w:tcPrChange w:id="1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1680" w:type="dxa"/>
            <w:tcPrChange w:id="1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992" w:type="dxa"/>
            <w:tcPrChange w:id="1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7</w:t>
            </w:r>
          </w:p>
        </w:tc>
        <w:tc>
          <w:tcPr>
            <w:tcW w:w="1843" w:type="dxa"/>
            <w:tcPrChange w:id="2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8</w:t>
            </w:r>
          </w:p>
        </w:tc>
        <w:tc>
          <w:tcPr>
            <w:tcW w:w="1134" w:type="dxa"/>
            <w:tcPrChange w:id="2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9</w:t>
            </w:r>
          </w:p>
        </w:tc>
        <w:tc>
          <w:tcPr>
            <w:tcW w:w="391" w:type="dxa"/>
            <w:tcPrChange w:id="2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10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2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Ханты-Мансийск</w:t>
            </w:r>
          </w:p>
        </w:tc>
        <w:tc>
          <w:tcPr>
            <w:tcW w:w="1354" w:type="dxa"/>
            <w:tcPrChange w:id="2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58,6</w:t>
            </w:r>
          </w:p>
        </w:tc>
        <w:tc>
          <w:tcPr>
            <w:tcW w:w="1626" w:type="dxa"/>
            <w:tcPrChange w:id="2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634" w:type="dxa"/>
            <w:tcPrChange w:id="2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49,6</w:t>
            </w:r>
          </w:p>
        </w:tc>
        <w:tc>
          <w:tcPr>
            <w:tcW w:w="1580" w:type="dxa"/>
            <w:tcPrChange w:id="2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62,4</w:t>
            </w:r>
          </w:p>
        </w:tc>
        <w:tc>
          <w:tcPr>
            <w:tcW w:w="1680" w:type="dxa"/>
            <w:tcPrChange w:id="2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7,4</w:t>
            </w:r>
          </w:p>
        </w:tc>
        <w:tc>
          <w:tcPr>
            <w:tcW w:w="992" w:type="dxa"/>
            <w:tcPrChange w:id="2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4,7</w:t>
            </w:r>
          </w:p>
        </w:tc>
        <w:tc>
          <w:tcPr>
            <w:tcW w:w="1843" w:type="dxa"/>
            <w:tcPrChange w:id="3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3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19,7</w:t>
            </w:r>
          </w:p>
        </w:tc>
        <w:tc>
          <w:tcPr>
            <w:tcW w:w="391" w:type="dxa"/>
            <w:tcPrChange w:id="3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37,8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3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354" w:type="dxa"/>
            <w:tcPrChange w:id="3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59,4</w:t>
            </w:r>
          </w:p>
        </w:tc>
        <w:tc>
          <w:tcPr>
            <w:tcW w:w="1626" w:type="dxa"/>
            <w:tcPrChange w:id="3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  <w:tcPrChange w:id="3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74,6</w:t>
            </w:r>
          </w:p>
        </w:tc>
        <w:tc>
          <w:tcPr>
            <w:tcW w:w="1580" w:type="dxa"/>
            <w:tcPrChange w:id="3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82,4</w:t>
            </w:r>
          </w:p>
        </w:tc>
        <w:tc>
          <w:tcPr>
            <w:tcW w:w="1680" w:type="dxa"/>
            <w:tcPrChange w:id="3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23,8</w:t>
            </w:r>
          </w:p>
        </w:tc>
        <w:tc>
          <w:tcPr>
            <w:tcW w:w="992" w:type="dxa"/>
            <w:tcPrChange w:id="3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8,3</w:t>
            </w:r>
          </w:p>
        </w:tc>
        <w:tc>
          <w:tcPr>
            <w:tcW w:w="1843" w:type="dxa"/>
            <w:tcPrChange w:id="4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4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391" w:type="dxa"/>
            <w:tcPrChange w:id="4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31,1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4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354" w:type="dxa"/>
            <w:tcPrChange w:id="4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84,9</w:t>
            </w:r>
          </w:p>
        </w:tc>
        <w:tc>
          <w:tcPr>
            <w:tcW w:w="1626" w:type="dxa"/>
            <w:tcPrChange w:id="4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80,2</w:t>
            </w:r>
          </w:p>
        </w:tc>
        <w:tc>
          <w:tcPr>
            <w:tcW w:w="1634" w:type="dxa"/>
            <w:tcPrChange w:id="4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76,9</w:t>
            </w:r>
          </w:p>
        </w:tc>
        <w:tc>
          <w:tcPr>
            <w:tcW w:w="1580" w:type="dxa"/>
            <w:tcPrChange w:id="4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680" w:type="dxa"/>
            <w:tcPrChange w:id="4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992" w:type="dxa"/>
            <w:tcPrChange w:id="4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36,0</w:t>
            </w:r>
          </w:p>
        </w:tc>
        <w:tc>
          <w:tcPr>
            <w:tcW w:w="1843" w:type="dxa"/>
            <w:tcPrChange w:id="5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5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391" w:type="dxa"/>
            <w:tcPrChange w:id="5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72,2</w:t>
            </w:r>
          </w:p>
        </w:tc>
      </w:tr>
      <w:tr w:rsidR="00557F58" w:rsidTr="00557F58">
        <w:trPr>
          <w:trHeight w:val="229"/>
        </w:trPr>
        <w:tc>
          <w:tcPr>
            <w:tcW w:w="2304" w:type="dxa"/>
            <w:tcPrChange w:id="5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354" w:type="dxa"/>
            <w:tcPrChange w:id="5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626" w:type="dxa"/>
            <w:tcPrChange w:id="5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  <w:tcPrChange w:id="5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580" w:type="dxa"/>
            <w:tcPrChange w:id="5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  <w:tcPrChange w:id="5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18,1</w:t>
            </w:r>
          </w:p>
        </w:tc>
        <w:tc>
          <w:tcPr>
            <w:tcW w:w="992" w:type="dxa"/>
            <w:tcPrChange w:id="5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78,0</w:t>
            </w:r>
          </w:p>
        </w:tc>
        <w:tc>
          <w:tcPr>
            <w:tcW w:w="1843" w:type="dxa"/>
            <w:tcPrChange w:id="6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6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36,1</w:t>
            </w:r>
          </w:p>
        </w:tc>
        <w:tc>
          <w:tcPr>
            <w:tcW w:w="391" w:type="dxa"/>
            <w:tcPrChange w:id="6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41,5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6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354" w:type="dxa"/>
            <w:tcPrChange w:id="6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28,4</w:t>
            </w:r>
          </w:p>
        </w:tc>
        <w:tc>
          <w:tcPr>
            <w:tcW w:w="1626" w:type="dxa"/>
            <w:tcPrChange w:id="6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20,3</w:t>
            </w:r>
          </w:p>
        </w:tc>
        <w:tc>
          <w:tcPr>
            <w:tcW w:w="1634" w:type="dxa"/>
            <w:tcPrChange w:id="6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24,8</w:t>
            </w:r>
          </w:p>
        </w:tc>
        <w:tc>
          <w:tcPr>
            <w:tcW w:w="1580" w:type="dxa"/>
            <w:tcPrChange w:id="6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25,4</w:t>
            </w:r>
          </w:p>
        </w:tc>
        <w:tc>
          <w:tcPr>
            <w:tcW w:w="1680" w:type="dxa"/>
            <w:tcPrChange w:id="6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6,5</w:t>
            </w:r>
          </w:p>
        </w:tc>
        <w:tc>
          <w:tcPr>
            <w:tcW w:w="992" w:type="dxa"/>
            <w:tcPrChange w:id="6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843" w:type="dxa"/>
            <w:tcPrChange w:id="7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7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22,9</w:t>
            </w:r>
          </w:p>
        </w:tc>
        <w:tc>
          <w:tcPr>
            <w:tcW w:w="391" w:type="dxa"/>
            <w:tcPrChange w:id="7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16,8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7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354" w:type="dxa"/>
            <w:tcPrChange w:id="7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69,0</w:t>
            </w:r>
          </w:p>
        </w:tc>
        <w:tc>
          <w:tcPr>
            <w:tcW w:w="1626" w:type="dxa"/>
            <w:tcPrChange w:id="7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54,7</w:t>
            </w:r>
          </w:p>
        </w:tc>
        <w:tc>
          <w:tcPr>
            <w:tcW w:w="1634" w:type="dxa"/>
            <w:tcPrChange w:id="7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61,4</w:t>
            </w:r>
          </w:p>
        </w:tc>
        <w:tc>
          <w:tcPr>
            <w:tcW w:w="1580" w:type="dxa"/>
            <w:tcPrChange w:id="7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45,5</w:t>
            </w:r>
          </w:p>
        </w:tc>
        <w:tc>
          <w:tcPr>
            <w:tcW w:w="1680" w:type="dxa"/>
            <w:tcPrChange w:id="7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9,9</w:t>
            </w:r>
          </w:p>
        </w:tc>
        <w:tc>
          <w:tcPr>
            <w:tcW w:w="992" w:type="dxa"/>
            <w:tcPrChange w:id="7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28,1</w:t>
            </w:r>
          </w:p>
        </w:tc>
        <w:tc>
          <w:tcPr>
            <w:tcW w:w="1843" w:type="dxa"/>
            <w:tcPrChange w:id="8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1134" w:type="dxa"/>
            <w:tcPrChange w:id="8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25,2</w:t>
            </w:r>
          </w:p>
        </w:tc>
        <w:tc>
          <w:tcPr>
            <w:tcW w:w="391" w:type="dxa"/>
            <w:tcPrChange w:id="8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38,4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8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354" w:type="dxa"/>
            <w:tcPrChange w:id="8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84,5</w:t>
            </w:r>
          </w:p>
        </w:tc>
        <w:tc>
          <w:tcPr>
            <w:tcW w:w="1626" w:type="dxa"/>
            <w:tcPrChange w:id="8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  <w:tcPrChange w:id="8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87,2</w:t>
            </w:r>
          </w:p>
        </w:tc>
        <w:tc>
          <w:tcPr>
            <w:tcW w:w="1580" w:type="dxa"/>
            <w:tcPrChange w:id="8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  <w:tcPrChange w:id="8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21,3</w:t>
            </w:r>
          </w:p>
        </w:tc>
        <w:tc>
          <w:tcPr>
            <w:tcW w:w="992" w:type="dxa"/>
            <w:tcPrChange w:id="8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843" w:type="dxa"/>
            <w:tcPrChange w:id="9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9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391" w:type="dxa"/>
            <w:tcPrChange w:id="9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24,1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9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354" w:type="dxa"/>
            <w:tcPrChange w:id="9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26" w:type="dxa"/>
            <w:tcPrChange w:id="9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  <w:tcPrChange w:id="9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580" w:type="dxa"/>
            <w:tcPrChange w:id="9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  <w:tcPrChange w:id="9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41,6</w:t>
            </w:r>
          </w:p>
        </w:tc>
        <w:tc>
          <w:tcPr>
            <w:tcW w:w="992" w:type="dxa"/>
            <w:tcPrChange w:id="9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843" w:type="dxa"/>
            <w:tcPrChange w:id="10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10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44,4</w:t>
            </w:r>
          </w:p>
        </w:tc>
        <w:tc>
          <w:tcPr>
            <w:tcW w:w="391" w:type="dxa"/>
            <w:tcPrChange w:id="10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10,8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10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354" w:type="dxa"/>
            <w:tcPrChange w:id="10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35,3</w:t>
            </w:r>
          </w:p>
        </w:tc>
        <w:tc>
          <w:tcPr>
            <w:tcW w:w="1626" w:type="dxa"/>
            <w:tcPrChange w:id="10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  <w:tcPrChange w:id="10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32,8</w:t>
            </w:r>
          </w:p>
        </w:tc>
        <w:tc>
          <w:tcPr>
            <w:tcW w:w="1580" w:type="dxa"/>
            <w:tcPrChange w:id="10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  <w:tcPrChange w:id="10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26,7</w:t>
            </w:r>
          </w:p>
        </w:tc>
        <w:tc>
          <w:tcPr>
            <w:tcW w:w="992" w:type="dxa"/>
            <w:tcPrChange w:id="10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12,8</w:t>
            </w:r>
          </w:p>
        </w:tc>
        <w:tc>
          <w:tcPr>
            <w:tcW w:w="1843" w:type="dxa"/>
            <w:tcPrChange w:id="11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11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17,8</w:t>
            </w:r>
          </w:p>
        </w:tc>
        <w:tc>
          <w:tcPr>
            <w:tcW w:w="391" w:type="dxa"/>
            <w:tcPrChange w:id="11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15,7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11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354" w:type="dxa"/>
            <w:tcPrChange w:id="11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38,3</w:t>
            </w:r>
          </w:p>
        </w:tc>
        <w:tc>
          <w:tcPr>
            <w:tcW w:w="1626" w:type="dxa"/>
            <w:tcPrChange w:id="11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  <w:tcPrChange w:id="11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33,9</w:t>
            </w:r>
          </w:p>
        </w:tc>
        <w:tc>
          <w:tcPr>
            <w:tcW w:w="1580" w:type="dxa"/>
            <w:tcPrChange w:id="11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  <w:tcPrChange w:id="11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9,2</w:t>
            </w:r>
          </w:p>
        </w:tc>
        <w:tc>
          <w:tcPr>
            <w:tcW w:w="992" w:type="dxa"/>
            <w:tcPrChange w:id="11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843" w:type="dxa"/>
            <w:tcPrChange w:id="12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12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391" w:type="dxa"/>
            <w:tcPrChange w:id="12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10,2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12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354" w:type="dxa"/>
            <w:tcPrChange w:id="12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67,3</w:t>
            </w:r>
          </w:p>
        </w:tc>
        <w:tc>
          <w:tcPr>
            <w:tcW w:w="1626" w:type="dxa"/>
            <w:tcPrChange w:id="12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59,9</w:t>
            </w:r>
          </w:p>
        </w:tc>
        <w:tc>
          <w:tcPr>
            <w:tcW w:w="1634" w:type="dxa"/>
            <w:tcPrChange w:id="12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76,2</w:t>
            </w:r>
          </w:p>
        </w:tc>
        <w:tc>
          <w:tcPr>
            <w:tcW w:w="1580" w:type="dxa"/>
            <w:tcPrChange w:id="12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49,8</w:t>
            </w:r>
          </w:p>
        </w:tc>
        <w:tc>
          <w:tcPr>
            <w:tcW w:w="1680" w:type="dxa"/>
            <w:tcPrChange w:id="12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11,1</w:t>
            </w:r>
          </w:p>
        </w:tc>
        <w:tc>
          <w:tcPr>
            <w:tcW w:w="992" w:type="dxa"/>
            <w:tcPrChange w:id="12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843" w:type="dxa"/>
            <w:tcPrChange w:id="13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100,0</w:t>
            </w:r>
          </w:p>
        </w:tc>
        <w:tc>
          <w:tcPr>
            <w:tcW w:w="1134" w:type="dxa"/>
            <w:tcPrChange w:id="13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77,1</w:t>
            </w:r>
          </w:p>
        </w:tc>
        <w:tc>
          <w:tcPr>
            <w:tcW w:w="391" w:type="dxa"/>
            <w:tcPrChange w:id="13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67,7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13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354" w:type="dxa"/>
            <w:tcPrChange w:id="13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64,5</w:t>
            </w:r>
          </w:p>
        </w:tc>
        <w:tc>
          <w:tcPr>
            <w:tcW w:w="1626" w:type="dxa"/>
            <w:tcPrChange w:id="13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46,6</w:t>
            </w:r>
          </w:p>
        </w:tc>
        <w:tc>
          <w:tcPr>
            <w:tcW w:w="1634" w:type="dxa"/>
            <w:tcPrChange w:id="13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63,0</w:t>
            </w:r>
          </w:p>
        </w:tc>
        <w:tc>
          <w:tcPr>
            <w:tcW w:w="1580" w:type="dxa"/>
            <w:tcPrChange w:id="13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58,2</w:t>
            </w:r>
          </w:p>
        </w:tc>
        <w:tc>
          <w:tcPr>
            <w:tcW w:w="1680" w:type="dxa"/>
            <w:tcPrChange w:id="13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48,8</w:t>
            </w:r>
          </w:p>
        </w:tc>
        <w:tc>
          <w:tcPr>
            <w:tcW w:w="992" w:type="dxa"/>
            <w:tcPrChange w:id="13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6,2</w:t>
            </w:r>
          </w:p>
        </w:tc>
        <w:tc>
          <w:tcPr>
            <w:tcW w:w="1843" w:type="dxa"/>
            <w:tcPrChange w:id="14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14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17,3</w:t>
            </w:r>
          </w:p>
        </w:tc>
        <w:tc>
          <w:tcPr>
            <w:tcW w:w="391" w:type="dxa"/>
            <w:tcPrChange w:id="14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38,1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14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Югорск</w:t>
            </w:r>
          </w:p>
        </w:tc>
        <w:tc>
          <w:tcPr>
            <w:tcW w:w="1354" w:type="dxa"/>
            <w:tcPrChange w:id="14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99,8</w:t>
            </w:r>
          </w:p>
        </w:tc>
        <w:tc>
          <w:tcPr>
            <w:tcW w:w="1626" w:type="dxa"/>
            <w:tcPrChange w:id="14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  <w:tcPrChange w:id="14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89,3</w:t>
            </w:r>
          </w:p>
        </w:tc>
        <w:tc>
          <w:tcPr>
            <w:tcW w:w="1580" w:type="dxa"/>
            <w:tcPrChange w:id="14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  <w:tcPrChange w:id="14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14,0</w:t>
            </w:r>
          </w:p>
        </w:tc>
        <w:tc>
          <w:tcPr>
            <w:tcW w:w="992" w:type="dxa"/>
            <w:tcPrChange w:id="14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843" w:type="dxa"/>
            <w:tcPrChange w:id="15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15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391" w:type="dxa"/>
            <w:tcPrChange w:id="15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25,4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15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354" w:type="dxa"/>
            <w:tcPrChange w:id="15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30,3</w:t>
            </w:r>
          </w:p>
        </w:tc>
        <w:tc>
          <w:tcPr>
            <w:tcW w:w="1626" w:type="dxa"/>
            <w:tcPrChange w:id="15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  <w:tcPrChange w:id="15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21,4</w:t>
            </w:r>
          </w:p>
        </w:tc>
        <w:tc>
          <w:tcPr>
            <w:tcW w:w="1580" w:type="dxa"/>
            <w:tcPrChange w:id="15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  <w:tcPrChange w:id="15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PrChange w:id="15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843" w:type="dxa"/>
            <w:tcPrChange w:id="16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16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391" w:type="dxa"/>
            <w:tcPrChange w:id="16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6,5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16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354" w:type="dxa"/>
            <w:tcPrChange w:id="16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25,5</w:t>
            </w:r>
          </w:p>
        </w:tc>
        <w:tc>
          <w:tcPr>
            <w:tcW w:w="1626" w:type="dxa"/>
            <w:tcPrChange w:id="16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  <w:tcPrChange w:id="16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14,4</w:t>
            </w:r>
          </w:p>
        </w:tc>
        <w:tc>
          <w:tcPr>
            <w:tcW w:w="1580" w:type="dxa"/>
            <w:tcPrChange w:id="16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  <w:tcPrChange w:id="16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11,7</w:t>
            </w:r>
          </w:p>
        </w:tc>
        <w:tc>
          <w:tcPr>
            <w:tcW w:w="992" w:type="dxa"/>
            <w:tcPrChange w:id="16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843" w:type="dxa"/>
            <w:tcPrChange w:id="17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17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391" w:type="dxa"/>
            <w:tcPrChange w:id="17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6,4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17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354" w:type="dxa"/>
            <w:tcPrChange w:id="17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28,5</w:t>
            </w:r>
          </w:p>
        </w:tc>
        <w:tc>
          <w:tcPr>
            <w:tcW w:w="1626" w:type="dxa"/>
            <w:tcPrChange w:id="17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  <w:tcPrChange w:id="17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14,8</w:t>
            </w:r>
          </w:p>
        </w:tc>
        <w:tc>
          <w:tcPr>
            <w:tcW w:w="1580" w:type="dxa"/>
            <w:tcPrChange w:id="17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  <w:tcPrChange w:id="17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8,7</w:t>
            </w:r>
          </w:p>
        </w:tc>
        <w:tc>
          <w:tcPr>
            <w:tcW w:w="992" w:type="dxa"/>
            <w:tcPrChange w:id="17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843" w:type="dxa"/>
            <w:tcPrChange w:id="18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18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23,3</w:t>
            </w:r>
          </w:p>
        </w:tc>
        <w:tc>
          <w:tcPr>
            <w:tcW w:w="391" w:type="dxa"/>
            <w:tcPrChange w:id="18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9,4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18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354" w:type="dxa"/>
            <w:tcPrChange w:id="18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44,4</w:t>
            </w:r>
          </w:p>
        </w:tc>
        <w:tc>
          <w:tcPr>
            <w:tcW w:w="1626" w:type="dxa"/>
            <w:tcPrChange w:id="18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  <w:tcPrChange w:id="18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35,3</w:t>
            </w:r>
          </w:p>
        </w:tc>
        <w:tc>
          <w:tcPr>
            <w:tcW w:w="1580" w:type="dxa"/>
            <w:tcPrChange w:id="18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  <w:tcPrChange w:id="18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992" w:type="dxa"/>
            <w:tcPrChange w:id="18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5,5</w:t>
            </w:r>
          </w:p>
        </w:tc>
        <w:tc>
          <w:tcPr>
            <w:tcW w:w="1843" w:type="dxa"/>
            <w:tcPrChange w:id="19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19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30,6</w:t>
            </w:r>
          </w:p>
        </w:tc>
        <w:tc>
          <w:tcPr>
            <w:tcW w:w="391" w:type="dxa"/>
            <w:tcPrChange w:id="19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14,5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19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354" w:type="dxa"/>
            <w:tcPrChange w:id="19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72,1</w:t>
            </w:r>
          </w:p>
        </w:tc>
        <w:tc>
          <w:tcPr>
            <w:tcW w:w="1626" w:type="dxa"/>
            <w:tcPrChange w:id="19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  <w:tcPrChange w:id="19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65,5</w:t>
            </w:r>
          </w:p>
        </w:tc>
        <w:tc>
          <w:tcPr>
            <w:tcW w:w="1580" w:type="dxa"/>
            <w:tcPrChange w:id="19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  <w:tcPrChange w:id="19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14,0</w:t>
            </w:r>
          </w:p>
        </w:tc>
        <w:tc>
          <w:tcPr>
            <w:tcW w:w="992" w:type="dxa"/>
            <w:tcPrChange w:id="19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6,7</w:t>
            </w:r>
          </w:p>
        </w:tc>
        <w:tc>
          <w:tcPr>
            <w:tcW w:w="1843" w:type="dxa"/>
            <w:tcPrChange w:id="20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20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18,6</w:t>
            </w:r>
          </w:p>
        </w:tc>
        <w:tc>
          <w:tcPr>
            <w:tcW w:w="391" w:type="dxa"/>
            <w:tcPrChange w:id="20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22,1</w:t>
            </w:r>
          </w:p>
        </w:tc>
      </w:tr>
      <w:tr w:rsidR="00557F58" w:rsidTr="00557F58">
        <w:trPr>
          <w:trHeight w:val="292"/>
        </w:trPr>
        <w:tc>
          <w:tcPr>
            <w:tcW w:w="2304" w:type="dxa"/>
            <w:tcPrChange w:id="20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354" w:type="dxa"/>
            <w:tcPrChange w:id="20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35,7</w:t>
            </w:r>
          </w:p>
        </w:tc>
        <w:tc>
          <w:tcPr>
            <w:tcW w:w="1626" w:type="dxa"/>
            <w:tcPrChange w:id="20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  <w:tcPrChange w:id="20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32,8</w:t>
            </w:r>
          </w:p>
        </w:tc>
        <w:tc>
          <w:tcPr>
            <w:tcW w:w="1580" w:type="dxa"/>
            <w:tcPrChange w:id="20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  <w:tcPrChange w:id="20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4,1</w:t>
            </w:r>
          </w:p>
        </w:tc>
        <w:tc>
          <w:tcPr>
            <w:tcW w:w="992" w:type="dxa"/>
            <w:tcPrChange w:id="20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15,8</w:t>
            </w:r>
          </w:p>
        </w:tc>
        <w:tc>
          <w:tcPr>
            <w:tcW w:w="1843" w:type="dxa"/>
            <w:tcPrChange w:id="21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21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21,9</w:t>
            </w:r>
          </w:p>
        </w:tc>
        <w:tc>
          <w:tcPr>
            <w:tcW w:w="391" w:type="dxa"/>
            <w:tcPrChange w:id="21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13,8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21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354" w:type="dxa"/>
            <w:tcPrChange w:id="21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40,5</w:t>
            </w:r>
          </w:p>
        </w:tc>
        <w:tc>
          <w:tcPr>
            <w:tcW w:w="1626" w:type="dxa"/>
            <w:tcPrChange w:id="21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  <w:tcPrChange w:id="21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36,1</w:t>
            </w:r>
          </w:p>
        </w:tc>
        <w:tc>
          <w:tcPr>
            <w:tcW w:w="1580" w:type="dxa"/>
            <w:tcPrChange w:id="21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  <w:tcPrChange w:id="21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14,3</w:t>
            </w:r>
          </w:p>
        </w:tc>
        <w:tc>
          <w:tcPr>
            <w:tcW w:w="992" w:type="dxa"/>
            <w:tcPrChange w:id="21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5,5</w:t>
            </w:r>
          </w:p>
        </w:tc>
        <w:tc>
          <w:tcPr>
            <w:tcW w:w="1843" w:type="dxa"/>
            <w:tcPrChange w:id="22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22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30,5</w:t>
            </w:r>
          </w:p>
        </w:tc>
        <w:tc>
          <w:tcPr>
            <w:tcW w:w="391" w:type="dxa"/>
            <w:tcPrChange w:id="22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15,9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22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354" w:type="dxa"/>
            <w:tcPrChange w:id="22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45,7</w:t>
            </w:r>
          </w:p>
        </w:tc>
        <w:tc>
          <w:tcPr>
            <w:tcW w:w="1626" w:type="dxa"/>
            <w:tcPrChange w:id="22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16,5</w:t>
            </w:r>
          </w:p>
        </w:tc>
        <w:tc>
          <w:tcPr>
            <w:tcW w:w="1634" w:type="dxa"/>
            <w:tcPrChange w:id="22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46,2</w:t>
            </w:r>
          </w:p>
        </w:tc>
        <w:tc>
          <w:tcPr>
            <w:tcW w:w="1580" w:type="dxa"/>
            <w:tcPrChange w:id="22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  <w:tcPrChange w:id="22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32,8</w:t>
            </w:r>
          </w:p>
        </w:tc>
        <w:tc>
          <w:tcPr>
            <w:tcW w:w="992" w:type="dxa"/>
            <w:tcPrChange w:id="22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30,4</w:t>
            </w:r>
          </w:p>
        </w:tc>
        <w:tc>
          <w:tcPr>
            <w:tcW w:w="1843" w:type="dxa"/>
            <w:tcPrChange w:id="23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23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39,5</w:t>
            </w:r>
          </w:p>
        </w:tc>
        <w:tc>
          <w:tcPr>
            <w:tcW w:w="391" w:type="dxa"/>
            <w:tcPrChange w:id="23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26,4</w:t>
            </w:r>
          </w:p>
        </w:tc>
      </w:tr>
      <w:tr w:rsidR="00557F58" w:rsidTr="00557F58">
        <w:trPr>
          <w:trHeight w:val="227"/>
        </w:trPr>
        <w:tc>
          <w:tcPr>
            <w:tcW w:w="2304" w:type="dxa"/>
            <w:tcPrChange w:id="233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354" w:type="dxa"/>
            <w:tcPrChange w:id="234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26" w:type="dxa"/>
            <w:tcPrChange w:id="235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34" w:type="dxa"/>
            <w:tcPrChange w:id="236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580" w:type="dxa"/>
            <w:tcPrChange w:id="237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680" w:type="dxa"/>
            <w:tcPrChange w:id="238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7,1</w:t>
            </w:r>
          </w:p>
        </w:tc>
        <w:tc>
          <w:tcPr>
            <w:tcW w:w="992" w:type="dxa"/>
            <w:tcPrChange w:id="239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27,2</w:t>
            </w:r>
          </w:p>
        </w:tc>
        <w:tc>
          <w:tcPr>
            <w:tcW w:w="1843" w:type="dxa"/>
            <w:tcPrChange w:id="240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4" w:type="dxa"/>
            <w:tcPrChange w:id="241" w:author="KuzminII" w:date="2024-07-25T11:14:00Z">
              <w:tcPr>
                <w:tcW w:w="0" w:type="auto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391" w:type="dxa"/>
            <w:tcPrChange w:id="242" w:author="KuzminII" w:date="2024-07-25T11:14:00Z">
              <w:tcPr>
                <w:tcW w:w="1305" w:type="dxa"/>
              </w:tcPr>
            </w:tcPrChange>
          </w:tcPr>
          <w:p w:rsidR="00557F58" w:rsidRDefault="00130666">
            <w:pPr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4,3</w:t>
            </w:r>
          </w:p>
        </w:tc>
      </w:tr>
    </w:tbl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  <w:sectPr w:rsidR="00557F58">
          <w:pgSz w:w="16838" w:h="11906" w:orient="landscape"/>
          <w:pgMar w:top="1559" w:right="1418" w:bottom="1276" w:left="1134" w:header="709" w:footer="709" w:gutter="0"/>
          <w:cols w:space="720"/>
          <w:titlePg/>
          <w:docGrid w:linePitch="360"/>
        </w:sectPr>
      </w:pP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val="en-US" w:eastAsia="en-US"/>
        </w:rPr>
        <w:lastRenderedPageBreak/>
        <w:t>VI</w:t>
      </w:r>
      <w:r>
        <w:rPr>
          <w:color w:val="0D0D0D" w:themeColor="text1" w:themeTint="F2"/>
          <w:sz w:val="28"/>
          <w:szCs w:val="28"/>
          <w:lang w:eastAsia="en-US"/>
        </w:rPr>
        <w:t xml:space="preserve">. Результаты комплексной оценки эффективности деятельности органов местного самоуправления муниципальных образований автономного округа за 2023 год </w:t>
      </w:r>
      <w:r>
        <w:rPr>
          <w:bCs/>
          <w:color w:val="0D0D0D" w:themeColor="text1" w:themeTint="F2"/>
          <w:sz w:val="28"/>
          <w:szCs w:val="28"/>
        </w:rPr>
        <w:t xml:space="preserve">по показателям, используемым для определения </w:t>
      </w:r>
    </w:p>
    <w:p w:rsidR="00557F58" w:rsidRDefault="00130666">
      <w:pPr>
        <w:jc w:val="center"/>
        <w:outlineLvl w:val="0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размера грантов</w:t>
      </w:r>
    </w:p>
    <w:p w:rsidR="00557F58" w:rsidRDefault="00557F58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</w:p>
    <w:p w:rsidR="00557F58" w:rsidRDefault="00130666">
      <w:pPr>
        <w:ind w:firstLine="709"/>
        <w:jc w:val="both"/>
        <w:outlineLvl w:val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Комплексная оценка эффективности деятельности органов местного самоуправления муниципальных образований автономного округа проведена на основании 13 сводных индексов значений показателей эффективности.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В отчетном году лидерами, достигшими наибольших значений показателей </w:t>
      </w:r>
      <w:r>
        <w:rPr>
          <w:bCs/>
          <w:color w:val="0D0D0D" w:themeColor="text1" w:themeTint="F2"/>
          <w:sz w:val="28"/>
          <w:szCs w:val="28"/>
          <w:lang w:eastAsia="en-US"/>
        </w:rPr>
        <w:t>эффективности деятельности органов местного самоуправления городских округов и муниципальных районов автономного округа</w:t>
      </w:r>
      <w:r>
        <w:rPr>
          <w:color w:val="0D0D0D" w:themeColor="text1" w:themeTint="F2"/>
          <w:sz w:val="28"/>
          <w:szCs w:val="28"/>
          <w:lang w:eastAsia="en-US"/>
        </w:rPr>
        <w:t xml:space="preserve">, являются согласно таблице 71: 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 xml:space="preserve">первые 3 муниципальных района – Сургутский, Белоярский, </w:t>
      </w:r>
      <w:r>
        <w:rPr>
          <w:color w:val="0D0D0D" w:themeColor="text1" w:themeTint="F2"/>
          <w:sz w:val="28"/>
          <w:szCs w:val="28"/>
          <w:lang w:eastAsia="en-US"/>
        </w:rPr>
        <w:br/>
        <w:t xml:space="preserve">Ханты-Мансийский; </w:t>
      </w:r>
    </w:p>
    <w:p w:rsidR="00557F58" w:rsidRDefault="00130666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lang w:eastAsia="en-US"/>
        </w:rPr>
        <w:t>первые 3 городских округа – Ханты-Мансийск, Когалым, Покачи.</w:t>
      </w:r>
    </w:p>
    <w:p w:rsidR="00557F58" w:rsidRDefault="00557F58">
      <w:pPr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</w:p>
    <w:p w:rsidR="00557F58" w:rsidRDefault="00557F58">
      <w:pPr>
        <w:jc w:val="right"/>
        <w:outlineLvl w:val="0"/>
        <w:rPr>
          <w:bCs/>
          <w:color w:val="0D0D0D" w:themeColor="text1" w:themeTint="F2"/>
          <w:sz w:val="28"/>
          <w:szCs w:val="28"/>
        </w:rPr>
        <w:sectPr w:rsidR="00557F58">
          <w:pgSz w:w="11906" w:h="16838"/>
          <w:pgMar w:top="1418" w:right="1276" w:bottom="1134" w:left="1559" w:header="720" w:footer="720" w:gutter="0"/>
          <w:cols w:space="720"/>
          <w:titlePg/>
          <w:docGrid w:linePitch="360"/>
        </w:sectPr>
      </w:pPr>
    </w:p>
    <w:p w:rsidR="00557F58" w:rsidRDefault="00130666">
      <w:pPr>
        <w:jc w:val="right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  <w:lang w:eastAsia="en-US"/>
        </w:rPr>
        <w:lastRenderedPageBreak/>
        <w:t>Таблица 71</w:t>
      </w:r>
    </w:p>
    <w:p w:rsidR="00557F58" w:rsidRDefault="00130666">
      <w:pPr>
        <w:jc w:val="center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Распределение мест между муниципальными образованиями по результатам комплексной оценки эффективности деятельности органов местного самоуправления муниципальных образований автономного округа </w:t>
      </w:r>
    </w:p>
    <w:p w:rsidR="00557F58" w:rsidRDefault="00130666">
      <w:pPr>
        <w:jc w:val="center"/>
        <w:outlineLvl w:val="0"/>
        <w:rPr>
          <w:color w:val="0D0D0D" w:themeColor="text1" w:themeTint="F2"/>
        </w:rPr>
      </w:pPr>
      <w:r>
        <w:rPr>
          <w:bCs/>
          <w:color w:val="0D0D0D" w:themeColor="text1" w:themeTint="F2"/>
          <w:sz w:val="28"/>
          <w:szCs w:val="28"/>
        </w:rPr>
        <w:t>за 2023 год по показателям, используемым для определения размера грантов</w:t>
      </w:r>
    </w:p>
    <w:p w:rsidR="00557F58" w:rsidRDefault="00557F58">
      <w:pPr>
        <w:jc w:val="center"/>
        <w:outlineLvl w:val="0"/>
        <w:rPr>
          <w:color w:val="0D0D0D" w:themeColor="text1" w:themeTint="F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551"/>
        <w:gridCol w:w="1396"/>
        <w:gridCol w:w="978"/>
        <w:gridCol w:w="2370"/>
        <w:gridCol w:w="1534"/>
        <w:gridCol w:w="1117"/>
        <w:gridCol w:w="1395"/>
        <w:gridCol w:w="1396"/>
        <w:gridCol w:w="1053"/>
      </w:tblGrid>
      <w:tr w:rsidR="00557F58">
        <w:trPr>
          <w:jc w:val="center"/>
        </w:trPr>
        <w:tc>
          <w:tcPr>
            <w:tcW w:w="490" w:type="dxa"/>
            <w:vMerge w:val="restart"/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№ п/п</w:t>
            </w:r>
          </w:p>
        </w:tc>
        <w:tc>
          <w:tcPr>
            <w:tcW w:w="2595" w:type="dxa"/>
            <w:vMerge w:val="restart"/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Наименование городского округа, муниципального района</w:t>
            </w:r>
          </w:p>
        </w:tc>
        <w:tc>
          <w:tcPr>
            <w:tcW w:w="2410" w:type="dxa"/>
            <w:gridSpan w:val="2"/>
            <w:vAlign w:val="center"/>
          </w:tcPr>
          <w:p w:rsidR="00557F58" w:rsidRDefault="00130666">
            <w:pPr>
              <w:jc w:val="center"/>
              <w:rPr>
                <w:rFonts w:eastAsia="Calibri"/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Оценка эффективности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Рейтинг по обеспечению благоприятного инвестиционного климата и содействию развитию конкуренции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Рейтинг по поддержке СП и СОНКО</w:t>
            </w:r>
          </w:p>
        </w:tc>
        <w:tc>
          <w:tcPr>
            <w:tcW w:w="2551" w:type="dxa"/>
            <w:gridSpan w:val="2"/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Задолженность организаций за потребленные ТЭР по состоянию на 01.10.2023, тыс. руб.</w:t>
            </w:r>
          </w:p>
        </w:tc>
        <w:tc>
          <w:tcPr>
            <w:tcW w:w="2487" w:type="dxa"/>
            <w:gridSpan w:val="2"/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Комплексная оценка эффективности </w:t>
            </w:r>
          </w:p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(гр. 3 + гр.5/1000 + </w:t>
            </w:r>
          </w:p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гр. 6/1000 – гр. 8)</w:t>
            </w:r>
          </w:p>
        </w:tc>
      </w:tr>
      <w:tr w:rsidR="00557F58">
        <w:trPr>
          <w:jc w:val="center"/>
        </w:trPr>
        <w:tc>
          <w:tcPr>
            <w:tcW w:w="490" w:type="dxa"/>
            <w:vMerge/>
            <w:vAlign w:val="center"/>
          </w:tcPr>
          <w:p w:rsidR="00557F58" w:rsidRDefault="00557F58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595" w:type="dxa"/>
            <w:vMerge/>
            <w:vAlign w:val="center"/>
          </w:tcPr>
          <w:p w:rsidR="00557F58" w:rsidRDefault="00557F58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rFonts w:eastAsia="Calibri"/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коэффициент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rFonts w:eastAsia="Calibri"/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место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rFonts w:eastAsia="Calibri"/>
                <w:bCs/>
                <w:color w:val="0D0D0D" w:themeColor="text1" w:themeTint="F2"/>
              </w:rPr>
              <w:t>значение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значение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значение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коэффициент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коэффициент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место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Сургутский район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0,5909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374,0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43,35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1,0083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0,6247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318,0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61,69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1,0044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3.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Белоярский район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0,5791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326,0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63,22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36 103,0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0,9683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4.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Ханты-Мансийский район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0,5859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300,0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53,11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13 357,5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0,9390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5.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Нижневартовский район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0,5465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345,0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39,79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11 862,8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0,9313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6.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Кондинский район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0,5338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345,0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43,30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26 050,0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0,9221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7.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Нефтеюганский район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0,5552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314,0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50,48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5 310,0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0,9197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8.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Когалым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0,5426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315,0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53,29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0,9108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9.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Покачи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0,5850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272,0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43,09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0,9001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10.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Урай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0,4780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345,0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59,21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0,8822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11.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Югорск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0,5383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274,0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54,30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38 459,6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0,8666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12.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Октябрьский район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0,4691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288,0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42,73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4 770,0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0,00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0,7998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13.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Лангепас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0,4649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274,0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39,39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0,7783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14.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Нефтеюганск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0,4434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276,0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49,82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0,7693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14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15.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Нижневартовск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0,3555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331,0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40,79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0,7273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16.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Радужный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0,4077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261,0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50,91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0,7196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17.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Сургут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0,3433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323,0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48,95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 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0,7152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17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18.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Березовский район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0,4187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333,0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47,14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58 246,7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0,15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0,6488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18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19.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Пыть-Ях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0,4776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301,0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53,43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155 579,3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0,6320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19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20.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Нягань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0,5167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229,0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49,28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220 468,4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0,5950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21.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Советский район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0,4568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286,0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37,17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167 580,2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0,5800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21</w:t>
            </w:r>
          </w:p>
        </w:tc>
      </w:tr>
      <w:tr w:rsidR="00557F58">
        <w:trPr>
          <w:jc w:val="center"/>
        </w:trPr>
        <w:tc>
          <w:tcPr>
            <w:tcW w:w="49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eastAsia="en-US"/>
              </w:rPr>
              <w:t>22.</w:t>
            </w:r>
          </w:p>
        </w:tc>
        <w:tc>
          <w:tcPr>
            <w:tcW w:w="2595" w:type="dxa"/>
            <w:noWrap/>
            <w:vAlign w:val="center"/>
          </w:tcPr>
          <w:p w:rsidR="00557F58" w:rsidRDefault="0013066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Мегион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0,2909</w:t>
            </w:r>
          </w:p>
        </w:tc>
        <w:tc>
          <w:tcPr>
            <w:tcW w:w="992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2410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305,0</w:t>
            </w:r>
          </w:p>
        </w:tc>
        <w:tc>
          <w:tcPr>
            <w:tcW w:w="155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51,10</w:t>
            </w:r>
          </w:p>
        </w:tc>
        <w:tc>
          <w:tcPr>
            <w:tcW w:w="1134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204 228,1</w:t>
            </w:r>
          </w:p>
        </w:tc>
        <w:tc>
          <w:tcPr>
            <w:tcW w:w="1417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0,20</w:t>
            </w:r>
          </w:p>
        </w:tc>
        <w:tc>
          <w:tcPr>
            <w:tcW w:w="1418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0,4470</w:t>
            </w:r>
          </w:p>
        </w:tc>
        <w:tc>
          <w:tcPr>
            <w:tcW w:w="1069" w:type="dxa"/>
            <w:vAlign w:val="center"/>
          </w:tcPr>
          <w:p w:rsidR="00557F58" w:rsidRDefault="00130666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557F58" w:rsidRDefault="00557F58">
      <w:pPr>
        <w:rPr>
          <w:color w:val="0D0D0D" w:themeColor="text1" w:themeTint="F2"/>
        </w:rPr>
      </w:pPr>
    </w:p>
    <w:sectPr w:rsidR="00557F58">
      <w:pgSz w:w="16838" w:h="11906" w:orient="landscape"/>
      <w:pgMar w:top="1559" w:right="1418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F58" w:rsidRDefault="00130666">
      <w:r>
        <w:separator/>
      </w:r>
    </w:p>
  </w:endnote>
  <w:endnote w:type="continuationSeparator" w:id="0">
    <w:p w:rsidR="00557F58" w:rsidRDefault="0013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F58" w:rsidRDefault="00130666">
      <w:r>
        <w:separator/>
      </w:r>
    </w:p>
  </w:footnote>
  <w:footnote w:type="continuationSeparator" w:id="0">
    <w:p w:rsidR="00557F58" w:rsidRDefault="00130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F58" w:rsidRDefault="00130666">
    <w:pPr>
      <w:pStyle w:val="ab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0654B6">
      <w:rPr>
        <w:noProof/>
        <w:sz w:val="24"/>
        <w:szCs w:val="24"/>
      </w:rPr>
      <w:t>102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F58" w:rsidRDefault="00557F58">
    <w:pPr>
      <w:pStyle w:val="ab"/>
      <w:jc w:val="center"/>
      <w:rPr>
        <w:sz w:val="24"/>
        <w:szCs w:val="24"/>
      </w:rPr>
    </w:pPr>
  </w:p>
  <w:p w:rsidR="00557F58" w:rsidRDefault="00557F58">
    <w:pPr>
      <w:pStyle w:val="ab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F58" w:rsidRDefault="0013066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654B6">
      <w:rPr>
        <w:noProof/>
      </w:rPr>
      <w:t>4</w:t>
    </w:r>
    <w:r>
      <w:fldChar w:fldCharType="end"/>
    </w:r>
  </w:p>
  <w:p w:rsidR="00557F58" w:rsidRDefault="00557F58">
    <w:pPr>
      <w:pStyle w:val="ab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F58" w:rsidRDefault="0013066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654B6">
      <w:rPr>
        <w:noProof/>
      </w:rPr>
      <w:t>151</w:t>
    </w:r>
    <w:r>
      <w:fldChar w:fldCharType="end"/>
    </w:r>
  </w:p>
  <w:p w:rsidR="00557F58" w:rsidRDefault="00557F58">
    <w:pPr>
      <w:pStyle w:val="ab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F58" w:rsidRDefault="0013066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654B6">
      <w:rPr>
        <w:noProof/>
      </w:rPr>
      <w:t>212</w:t>
    </w:r>
    <w:r>
      <w:fldChar w:fldCharType="end"/>
    </w:r>
  </w:p>
  <w:p w:rsidR="00557F58" w:rsidRDefault="00557F5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comments="0" w:insDel="0" w:formatting="0" w:inkAnnotations="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58"/>
    <w:rsid w:val="000654B6"/>
    <w:rsid w:val="00130666"/>
    <w:rsid w:val="00557F58"/>
    <w:rsid w:val="00A2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DF75D-DA2B-45AE-B22A-892E0D8D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Title">
    <w:name w:val="ConsPlusTitle"/>
    <w:uiPriority w:val="99"/>
    <w:pPr>
      <w:widowControl w:val="0"/>
    </w:pPr>
    <w:rPr>
      <w:rFonts w:ascii="Calibri" w:eastAsia="Calibri" w:hAnsi="Calibri" w:cs="Calibri"/>
      <w:b/>
      <w:bCs/>
      <w:sz w:val="22"/>
      <w:szCs w:val="22"/>
      <w:lang w:eastAsia="ru-RU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rFonts w:ascii="Calibri" w:eastAsia="Calibri" w:hAnsi="Calibri"/>
      <w:color w:val="000000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/>
    </w:pPr>
    <w:rPr>
      <w:rFonts w:ascii="Calibri" w:eastAsia="Calibri" w:hAnsi="Calibri"/>
      <w:b/>
      <w:bCs/>
      <w:color w:val="000000"/>
    </w:rPr>
  </w:style>
  <w:style w:type="paragraph" w:customStyle="1" w:styleId="font7">
    <w:name w:val="font7"/>
    <w:basedOn w:val="a"/>
    <w:uiPriority w:val="99"/>
    <w:pPr>
      <w:spacing w:before="100" w:beforeAutospacing="1" w:after="100" w:afterAutospacing="1"/>
    </w:pPr>
    <w:rPr>
      <w:rFonts w:ascii="Calibri" w:eastAsia="Calibri" w:hAnsi="Calibri"/>
      <w:color w:val="0000FF"/>
    </w:rPr>
  </w:style>
  <w:style w:type="paragraph" w:customStyle="1" w:styleId="font8">
    <w:name w:val="font8"/>
    <w:basedOn w:val="a"/>
    <w:uiPriority w:val="99"/>
    <w:pPr>
      <w:spacing w:before="100" w:beforeAutospacing="1" w:after="100" w:afterAutospacing="1"/>
    </w:pPr>
    <w:rPr>
      <w:rFonts w:ascii="Calibri" w:eastAsia="Calibri" w:hAnsi="Calibri"/>
      <w:b/>
      <w:bCs/>
      <w:color w:val="0000FF"/>
    </w:rPr>
  </w:style>
  <w:style w:type="paragraph" w:customStyle="1" w:styleId="font9">
    <w:name w:val="font9"/>
    <w:basedOn w:val="a"/>
    <w:uiPriority w:val="99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font10">
    <w:name w:val="font10"/>
    <w:basedOn w:val="a"/>
    <w:uiPriority w:val="99"/>
    <w:pPr>
      <w:spacing w:before="100" w:beforeAutospacing="1" w:after="100" w:afterAutospacing="1"/>
    </w:pPr>
    <w:rPr>
      <w:rFonts w:ascii="Calibri" w:eastAsia="Calibri" w:hAnsi="Calibri"/>
      <w:color w:val="FF0000"/>
    </w:rPr>
  </w:style>
  <w:style w:type="paragraph" w:customStyle="1" w:styleId="font11">
    <w:name w:val="font11"/>
    <w:basedOn w:val="a"/>
    <w:uiPriority w:val="99"/>
    <w:pPr>
      <w:spacing w:before="100" w:beforeAutospacing="1" w:after="100" w:afterAutospacing="1"/>
    </w:pPr>
    <w:rPr>
      <w:rFonts w:ascii="Calibri" w:eastAsia="Calibri" w:hAnsi="Calibri"/>
      <w:color w:val="FF0000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00FF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71">
    <w:name w:val="xl71"/>
    <w:basedOn w:val="a"/>
    <w:pP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b/>
      <w:bCs/>
      <w:color w:val="0000FF"/>
      <w:sz w:val="24"/>
      <w:szCs w:val="2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4"/>
      <w:szCs w:val="24"/>
    </w:rPr>
  </w:style>
  <w:style w:type="paragraph" w:customStyle="1" w:styleId="xl76">
    <w:name w:val="xl76"/>
    <w:basedOn w:val="a"/>
    <w:pP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77">
    <w:name w:val="xl77"/>
    <w:basedOn w:val="a"/>
    <w:pP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CC00"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FF0000"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B050"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4"/>
      <w:szCs w:val="24"/>
    </w:rPr>
  </w:style>
  <w:style w:type="paragraph" w:customStyle="1" w:styleId="xl90">
    <w:name w:val="xl9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b/>
      <w:bCs/>
      <w:sz w:val="24"/>
      <w:szCs w:val="24"/>
    </w:rPr>
  </w:style>
  <w:style w:type="paragraph" w:customStyle="1" w:styleId="xl92">
    <w:name w:val="xl92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0000FF"/>
      <w:sz w:val="24"/>
      <w:szCs w:val="24"/>
    </w:rPr>
  </w:style>
  <w:style w:type="paragraph" w:customStyle="1" w:styleId="xl93">
    <w:name w:val="xl93"/>
    <w:basedOn w:val="a"/>
    <w:pPr>
      <w:spacing w:before="100" w:beforeAutospacing="1" w:after="100" w:afterAutospacing="1"/>
    </w:pPr>
    <w:rPr>
      <w:rFonts w:ascii="Calibri" w:eastAsia="Calibri" w:hAnsi="Calibri"/>
      <w:b/>
      <w:bCs/>
      <w:sz w:val="24"/>
      <w:szCs w:val="24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00FF"/>
      <w:sz w:val="24"/>
      <w:szCs w:val="24"/>
    </w:rPr>
  </w:style>
  <w:style w:type="paragraph" w:customStyle="1" w:styleId="xl95">
    <w:name w:val="xl9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96">
    <w:name w:val="xl9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97">
    <w:name w:val="xl9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b/>
      <w:bCs/>
      <w:sz w:val="24"/>
      <w:szCs w:val="24"/>
    </w:rPr>
  </w:style>
  <w:style w:type="paragraph" w:customStyle="1" w:styleId="xl98">
    <w:name w:val="xl9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99">
    <w:name w:val="xl9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00">
    <w:name w:val="xl10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01">
    <w:name w:val="xl10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102">
    <w:name w:val="xl102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00FF"/>
      <w:sz w:val="24"/>
      <w:szCs w:val="24"/>
    </w:rPr>
  </w:style>
  <w:style w:type="paragraph" w:customStyle="1" w:styleId="xl103">
    <w:name w:val="xl103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04">
    <w:name w:val="xl10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05">
    <w:name w:val="xl10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06">
    <w:name w:val="xl10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07">
    <w:name w:val="xl10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08">
    <w:name w:val="xl10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09">
    <w:name w:val="xl10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10">
    <w:name w:val="xl110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11">
    <w:name w:val="xl111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12">
    <w:name w:val="xl11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13">
    <w:name w:val="xl113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14">
    <w:name w:val="xl114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15">
    <w:name w:val="xl115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16">
    <w:name w:val="xl116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17">
    <w:name w:val="xl117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18">
    <w:name w:val="xl11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19">
    <w:name w:val="xl119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0">
    <w:name w:val="xl12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1">
    <w:name w:val="xl12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2">
    <w:name w:val="xl12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3">
    <w:name w:val="xl123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4">
    <w:name w:val="xl124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5">
    <w:name w:val="xl12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6">
    <w:name w:val="xl126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7">
    <w:name w:val="xl12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8">
    <w:name w:val="xl12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29">
    <w:name w:val="xl129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30">
    <w:name w:val="xl13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1F497D"/>
      <w:sz w:val="24"/>
      <w:szCs w:val="24"/>
    </w:rPr>
  </w:style>
  <w:style w:type="paragraph" w:customStyle="1" w:styleId="xl131">
    <w:name w:val="xl13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132">
    <w:name w:val="xl13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33">
    <w:name w:val="xl13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134">
    <w:name w:val="xl13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135">
    <w:name w:val="xl135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00FF"/>
      <w:sz w:val="24"/>
      <w:szCs w:val="24"/>
    </w:rPr>
  </w:style>
  <w:style w:type="paragraph" w:customStyle="1" w:styleId="xl136">
    <w:name w:val="xl13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00B050"/>
      <w:sz w:val="24"/>
      <w:szCs w:val="24"/>
    </w:rPr>
  </w:style>
  <w:style w:type="paragraph" w:customStyle="1" w:styleId="xl137">
    <w:name w:val="xl13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sz w:val="24"/>
      <w:szCs w:val="24"/>
    </w:rPr>
  </w:style>
  <w:style w:type="paragraph" w:customStyle="1" w:styleId="xl138">
    <w:name w:val="xl13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b/>
      <w:bCs/>
      <w:sz w:val="24"/>
      <w:szCs w:val="24"/>
    </w:rPr>
  </w:style>
  <w:style w:type="paragraph" w:customStyle="1" w:styleId="xl139">
    <w:name w:val="xl13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40">
    <w:name w:val="xl140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41">
    <w:name w:val="xl14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FF0000"/>
      <w:sz w:val="24"/>
      <w:szCs w:val="24"/>
    </w:rPr>
  </w:style>
  <w:style w:type="paragraph" w:customStyle="1" w:styleId="xl142">
    <w:name w:val="xl14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FF0000"/>
      <w:sz w:val="24"/>
      <w:szCs w:val="24"/>
    </w:rPr>
  </w:style>
  <w:style w:type="paragraph" w:customStyle="1" w:styleId="xl143">
    <w:name w:val="xl143"/>
    <w:basedOn w:val="a"/>
    <w:uiPriority w:val="99"/>
    <w:pPr>
      <w:pBdr>
        <w:top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44">
    <w:name w:val="xl144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45">
    <w:name w:val="xl14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75923C"/>
      <w:sz w:val="24"/>
      <w:szCs w:val="24"/>
    </w:rPr>
  </w:style>
  <w:style w:type="paragraph" w:customStyle="1" w:styleId="xl146">
    <w:name w:val="xl14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75923C"/>
      <w:sz w:val="24"/>
      <w:szCs w:val="24"/>
    </w:rPr>
  </w:style>
  <w:style w:type="paragraph" w:customStyle="1" w:styleId="xl147">
    <w:name w:val="xl14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4F6228"/>
      <w:sz w:val="24"/>
      <w:szCs w:val="24"/>
    </w:rPr>
  </w:style>
  <w:style w:type="paragraph" w:customStyle="1" w:styleId="xl148">
    <w:name w:val="xl14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4F6228"/>
      <w:sz w:val="24"/>
      <w:szCs w:val="24"/>
    </w:rPr>
  </w:style>
  <w:style w:type="paragraph" w:customStyle="1" w:styleId="xl149">
    <w:name w:val="xl14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Calibri" w:eastAsia="Calibri" w:hAnsi="Calibri"/>
      <w:color w:val="4F6228"/>
      <w:sz w:val="24"/>
      <w:szCs w:val="24"/>
    </w:rPr>
  </w:style>
  <w:style w:type="paragraph" w:customStyle="1" w:styleId="xl150">
    <w:name w:val="xl15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4F6228"/>
      <w:sz w:val="24"/>
      <w:szCs w:val="24"/>
    </w:rPr>
  </w:style>
  <w:style w:type="paragraph" w:customStyle="1" w:styleId="xl151">
    <w:name w:val="xl15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75923C"/>
      <w:sz w:val="24"/>
      <w:szCs w:val="24"/>
    </w:rPr>
  </w:style>
  <w:style w:type="paragraph" w:customStyle="1" w:styleId="xl152">
    <w:name w:val="xl15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75923C"/>
      <w:sz w:val="24"/>
      <w:szCs w:val="24"/>
    </w:rPr>
  </w:style>
  <w:style w:type="paragraph" w:customStyle="1" w:styleId="xl153">
    <w:name w:val="xl15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57">
    <w:name w:val="xl157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58">
    <w:name w:val="xl158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59">
    <w:name w:val="xl159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60">
    <w:name w:val="xl160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61">
    <w:name w:val="xl161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62">
    <w:name w:val="xl162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63">
    <w:name w:val="xl163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64">
    <w:name w:val="xl164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FF0000"/>
      <w:sz w:val="24"/>
      <w:szCs w:val="24"/>
    </w:rPr>
  </w:style>
  <w:style w:type="paragraph" w:customStyle="1" w:styleId="xl165">
    <w:name w:val="xl165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FF0000"/>
      <w:sz w:val="24"/>
      <w:szCs w:val="24"/>
    </w:rPr>
  </w:style>
  <w:style w:type="paragraph" w:customStyle="1" w:styleId="xl166">
    <w:name w:val="xl166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color w:val="FF0000"/>
      <w:sz w:val="24"/>
      <w:szCs w:val="24"/>
    </w:rPr>
  </w:style>
  <w:style w:type="paragraph" w:customStyle="1" w:styleId="xl167">
    <w:name w:val="xl16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68">
    <w:name w:val="xl168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69">
    <w:name w:val="xl16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70">
    <w:name w:val="xl170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71">
    <w:name w:val="xl171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72">
    <w:name w:val="xl172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73">
    <w:name w:val="xl173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74">
    <w:name w:val="xl174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75">
    <w:name w:val="xl175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76">
    <w:name w:val="xl176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77">
    <w:name w:val="xl17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4"/>
      <w:szCs w:val="24"/>
    </w:rPr>
  </w:style>
  <w:style w:type="paragraph" w:customStyle="1" w:styleId="xl178">
    <w:name w:val="xl178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4"/>
      <w:szCs w:val="24"/>
    </w:rPr>
  </w:style>
  <w:style w:type="paragraph" w:customStyle="1" w:styleId="xl179">
    <w:name w:val="xl17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80">
    <w:name w:val="xl18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81">
    <w:name w:val="xl181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82">
    <w:name w:val="xl18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83">
    <w:name w:val="xl183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84">
    <w:name w:val="xl184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24"/>
      <w:szCs w:val="24"/>
    </w:rPr>
  </w:style>
  <w:style w:type="paragraph" w:customStyle="1" w:styleId="xl185">
    <w:name w:val="xl185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86">
    <w:name w:val="xl186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87">
    <w:name w:val="xl187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88">
    <w:name w:val="xl188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89">
    <w:name w:val="xl189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90">
    <w:name w:val="xl190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91">
    <w:name w:val="xl191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92">
    <w:name w:val="xl192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sz w:val="24"/>
      <w:szCs w:val="24"/>
    </w:rPr>
  </w:style>
  <w:style w:type="paragraph" w:customStyle="1" w:styleId="xl193">
    <w:name w:val="xl193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00FF"/>
      <w:sz w:val="24"/>
      <w:szCs w:val="24"/>
    </w:rPr>
  </w:style>
  <w:style w:type="paragraph" w:customStyle="1" w:styleId="xl194">
    <w:name w:val="xl194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4"/>
      <w:szCs w:val="24"/>
    </w:rPr>
  </w:style>
  <w:style w:type="paragraph" w:customStyle="1" w:styleId="xl195">
    <w:name w:val="xl195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color w:val="0000FF"/>
      <w:sz w:val="24"/>
      <w:szCs w:val="24"/>
    </w:rPr>
  </w:style>
  <w:style w:type="paragraph" w:customStyle="1" w:styleId="xl196">
    <w:name w:val="xl196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97">
    <w:name w:val="xl197"/>
    <w:basedOn w:val="a"/>
    <w:uiPriority w:val="99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98">
    <w:name w:val="xl198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199">
    <w:name w:val="xl199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200">
    <w:name w:val="xl200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201">
    <w:name w:val="xl201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202">
    <w:name w:val="xl202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203">
    <w:name w:val="xl203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xl204">
    <w:name w:val="xl204"/>
    <w:basedOn w:val="a"/>
    <w:uiPriority w:val="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B050"/>
      <w:sz w:val="24"/>
      <w:szCs w:val="24"/>
    </w:rPr>
  </w:style>
  <w:style w:type="paragraph" w:customStyle="1" w:styleId="xl205">
    <w:name w:val="xl205"/>
    <w:basedOn w:val="a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Calibri" w:hAnsi="Calibri"/>
      <w:color w:val="00B050"/>
      <w:sz w:val="24"/>
      <w:szCs w:val="24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Calibri" w:hAnsi="Arial" w:cs="Arial"/>
      <w:lang w:eastAsia="ru-RU"/>
    </w:rPr>
  </w:style>
  <w:style w:type="paragraph" w:customStyle="1" w:styleId="14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Без интервала1"/>
    <w:uiPriority w:val="99"/>
    <w:rPr>
      <w:rFonts w:ascii="Calibri" w:hAnsi="Calibri" w:cs="Calibri"/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rPr>
      <w:rFonts w:ascii="Tahoma" w:eastAsia="Calibri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rPr>
      <w:rFonts w:ascii="Tahoma" w:eastAsia="Calibri" w:hAnsi="Tahoma"/>
      <w:sz w:val="16"/>
      <w:szCs w:val="16"/>
      <w:lang w:val="en-US" w:eastAsia="en-US"/>
    </w:rPr>
  </w:style>
  <w:style w:type="paragraph" w:styleId="afc">
    <w:name w:val="annotation text"/>
    <w:basedOn w:val="a"/>
    <w:link w:val="afd"/>
    <w:uiPriority w:val="99"/>
    <w:pPr>
      <w:spacing w:after="200" w:line="276" w:lineRule="auto"/>
    </w:pPr>
    <w:rPr>
      <w:rFonts w:ascii="Calibri" w:eastAsia="Calibri" w:hAnsi="Calibri"/>
      <w:lang w:val="en-US" w:eastAsia="en-US"/>
    </w:rPr>
  </w:style>
  <w:style w:type="character" w:customStyle="1" w:styleId="afd">
    <w:name w:val="Текст примечания Знак"/>
    <w:link w:val="afc"/>
    <w:uiPriority w:val="99"/>
    <w:rPr>
      <w:rFonts w:ascii="Calibri" w:eastAsia="Calibri" w:hAnsi="Calibri"/>
      <w:lang w:val="en-US" w:eastAsia="en-US"/>
    </w:rPr>
  </w:style>
  <w:style w:type="character" w:customStyle="1" w:styleId="afe">
    <w:name w:val="Гипертекстовая ссылка"/>
    <w:uiPriority w:val="99"/>
    <w:rPr>
      <w:color w:val="008000"/>
    </w:rPr>
  </w:style>
  <w:style w:type="paragraph" w:customStyle="1" w:styleId="25">
    <w:name w:val="Основной текст 2;Знак"/>
    <w:basedOn w:val="a"/>
    <w:link w:val="26"/>
    <w:uiPriority w:val="99"/>
    <w:pPr>
      <w:jc w:val="center"/>
    </w:pPr>
    <w:rPr>
      <w:rFonts w:eastAsia="Calibri"/>
      <w:sz w:val="24"/>
      <w:szCs w:val="24"/>
      <w:lang w:val="en-US" w:eastAsia="en-US"/>
    </w:rPr>
  </w:style>
  <w:style w:type="character" w:customStyle="1" w:styleId="26">
    <w:name w:val="Основной текст 2 Знак;Знак Знак"/>
    <w:link w:val="25"/>
    <w:uiPriority w:val="99"/>
    <w:rPr>
      <w:rFonts w:eastAsia="Calibri"/>
      <w:sz w:val="24"/>
      <w:szCs w:val="24"/>
      <w:lang w:val="en-US" w:eastAsia="en-US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28">
    <w:name w:val="Основной текст с отступом 2 Знак"/>
    <w:link w:val="27"/>
    <w:uiPriority w:val="99"/>
    <w:rPr>
      <w:rFonts w:ascii="Calibri" w:hAnsi="Calibri"/>
      <w:sz w:val="22"/>
      <w:szCs w:val="22"/>
      <w:lang w:val="en-US" w:eastAsia="en-US"/>
    </w:rPr>
  </w:style>
  <w:style w:type="paragraph" w:customStyle="1" w:styleId="16">
    <w:name w:val="Обычный1"/>
    <w:uiPriority w:val="99"/>
    <w:pPr>
      <w:spacing w:line="288" w:lineRule="auto"/>
      <w:ind w:firstLine="567"/>
      <w:jc w:val="both"/>
    </w:pPr>
    <w:rPr>
      <w:rFonts w:ascii="Arial" w:hAnsi="Arial" w:cs="Arial"/>
      <w:sz w:val="22"/>
      <w:szCs w:val="22"/>
      <w:lang w:eastAsia="ru-RU"/>
    </w:rPr>
  </w:style>
  <w:style w:type="character" w:customStyle="1" w:styleId="FontStyle28">
    <w:name w:val="Font Styl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paragraph" w:styleId="aff">
    <w:name w:val="Body Text Indent"/>
    <w:basedOn w:val="a"/>
    <w:link w:val="aff0"/>
    <w:uiPriority w:val="99"/>
    <w:unhideWhenUsed/>
    <w:pPr>
      <w:spacing w:after="120" w:line="276" w:lineRule="auto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ff0">
    <w:name w:val="Основной текст с отступом Знак"/>
    <w:link w:val="aff"/>
    <w:uiPriority w:val="99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ru-RU"/>
    </w:rPr>
  </w:style>
  <w:style w:type="character" w:styleId="aff1">
    <w:name w:val="FollowedHyperlink"/>
    <w:uiPriority w:val="99"/>
    <w:unhideWhenUsed/>
    <w:rPr>
      <w:color w:val="800080"/>
      <w:u w:val="single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subject"/>
    <w:basedOn w:val="afc"/>
    <w:next w:val="afc"/>
    <w:link w:val="aff4"/>
    <w:pPr>
      <w:spacing w:after="0" w:line="240" w:lineRule="auto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f4">
    <w:name w:val="Тема примечания Знак"/>
    <w:link w:val="aff3"/>
    <w:rPr>
      <w:rFonts w:ascii="Calibri" w:eastAsia="Calibri" w:hAnsi="Calibri"/>
      <w:b/>
      <w:bCs/>
      <w:lang w:val="en-US" w:eastAsia="en-US"/>
    </w:rPr>
  </w:style>
  <w:style w:type="paragraph" w:styleId="aff5">
    <w:name w:val="Revision"/>
    <w:hidden/>
    <w:uiPriority w:val="99"/>
    <w:semiHidden/>
    <w:rPr>
      <w:lang w:eastAsia="ru-RU"/>
    </w:rPr>
  </w:style>
  <w:style w:type="table" w:styleId="aff6">
    <w:name w:val="Grid Table Light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yperlink" Target="http://www.n-vartovsk.ru/" TargetMode="External"/><Relationship Id="rId18" Type="http://schemas.openxmlformats.org/officeDocument/2006/relationships/hyperlink" Target="http://www.admsurgut.ru/" TargetMode="External"/><Relationship Id="rId26" Type="http://schemas.openxmlformats.org/officeDocument/2006/relationships/hyperlink" Target="http://www.nvraion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gorsk.ru/" TargetMode="External"/><Relationship Id="rId34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yperlink" Target="http://admugansk.ru/" TargetMode="External"/><Relationship Id="rId17" Type="http://schemas.openxmlformats.org/officeDocument/2006/relationships/hyperlink" Target="http://www.admrad.ru/" TargetMode="External"/><Relationship Id="rId25" Type="http://schemas.openxmlformats.org/officeDocument/2006/relationships/hyperlink" Target="http://www.admoil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yadm.ru/" TargetMode="External"/><Relationship Id="rId20" Type="http://schemas.openxmlformats.org/officeDocument/2006/relationships/hyperlink" Target="http://www.admhmansy.ru/" TargetMode="External"/><Relationship Id="rId29" Type="http://schemas.openxmlformats.org/officeDocument/2006/relationships/hyperlink" Target="http://www.admsr.ru/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admmegion.ru/" TargetMode="External"/><Relationship Id="rId24" Type="http://schemas.openxmlformats.org/officeDocument/2006/relationships/hyperlink" Target="http://www.admkonda.ru/" TargetMode="External"/><Relationship Id="rId32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yperlink" Target="http://www.admpokachi.ru/" TargetMode="External"/><Relationship Id="rId23" Type="http://schemas.openxmlformats.org/officeDocument/2006/relationships/hyperlink" Target="http://www.mrberezovo.ru/" TargetMode="External"/><Relationship Id="rId28" Type="http://schemas.openxmlformats.org/officeDocument/2006/relationships/hyperlink" Target="http://www.admsov.ru/" TargetMode="External"/><Relationship Id="rId10" Type="http://schemas.openxmlformats.org/officeDocument/2006/relationships/hyperlink" Target="http://www.admlangepas.ru/" TargetMode="External"/><Relationship Id="rId19" Type="http://schemas.openxmlformats.org/officeDocument/2006/relationships/hyperlink" Target="http://www.uray.ru/" TargetMode="External"/><Relationship Id="rId31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yperlink" Target="http://www.admkogalym.ru/" TargetMode="External"/><Relationship Id="rId14" Type="http://schemas.openxmlformats.org/officeDocument/2006/relationships/hyperlink" Target="http://www.admnyagan.ru/" TargetMode="External"/><Relationship Id="rId22" Type="http://schemas.openxmlformats.org/officeDocument/2006/relationships/hyperlink" Target="http://www.admbel.ru/" TargetMode="External"/><Relationship Id="rId27" Type="http://schemas.openxmlformats.org/officeDocument/2006/relationships/hyperlink" Target="http://www.oktregion.ru/" TargetMode="External"/><Relationship Id="rId30" Type="http://schemas.openxmlformats.org/officeDocument/2006/relationships/hyperlink" Target="http://www.hmrn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103</Pages>
  <Words>64647</Words>
  <Characters>368492</Characters>
  <Application>Microsoft Office Word</Application>
  <DocSecurity>0</DocSecurity>
  <Lines>3070</Lines>
  <Paragraphs>864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432275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KulikovaES</dc:creator>
  <cp:lastModifiedBy>Лали Зурабовна Буркова</cp:lastModifiedBy>
  <cp:revision>20</cp:revision>
  <cp:lastPrinted>2024-07-30T03:57:00Z</cp:lastPrinted>
  <dcterms:created xsi:type="dcterms:W3CDTF">2024-07-24T09:29:00Z</dcterms:created>
  <dcterms:modified xsi:type="dcterms:W3CDTF">2024-07-30T04:01:00Z</dcterms:modified>
  <cp:version>983040</cp:version>
</cp:coreProperties>
</file>