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EF2F40">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EF2F40">
            <w:pPr>
              <w:rPr>
                <w:rFonts w:eastAsia="Calibri"/>
                <w:sz w:val="28"/>
                <w:szCs w:val="28"/>
                <w:lang w:eastAsia="en-US"/>
              </w:rPr>
            </w:pPr>
          </w:p>
        </w:tc>
        <w:tc>
          <w:tcPr>
            <w:tcW w:w="1800" w:type="dxa"/>
            <w:vAlign w:val="bottom"/>
          </w:tcPr>
          <w:p w:rsidR="00B0114B" w:rsidRPr="00B849D2" w:rsidRDefault="00B0114B" w:rsidP="00EF2F40">
            <w:pPr>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6F3FD4" w:rsidRPr="00A64DD5" w:rsidTr="0088483C">
        <w:trPr>
          <w:cantSplit/>
          <w:trHeight w:val="271"/>
          <w:jc w:val="right"/>
        </w:trPr>
        <w:tc>
          <w:tcPr>
            <w:tcW w:w="2884" w:type="dxa"/>
          </w:tcPr>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6F3FD4" w:rsidRPr="00374A46" w:rsidTr="00B31CD8">
              <w:trPr>
                <w:cantSplit/>
                <w:trHeight w:val="232"/>
              </w:trPr>
              <w:tc>
                <w:tcPr>
                  <w:tcW w:w="3119" w:type="dxa"/>
                </w:tcPr>
                <w:p w:rsidR="006F3FD4" w:rsidRPr="00374A46" w:rsidRDefault="006F3FD4" w:rsidP="006F3FD4">
                  <w:pPr>
                    <w:pStyle w:val="ConsPlusNonformat"/>
                    <w:jc w:val="both"/>
                    <w:rPr>
                      <w:rFonts w:ascii="Times New Roman" w:hAnsi="Times New Roman" w:cs="Times New Roman"/>
                      <w:sz w:val="28"/>
                      <w:szCs w:val="28"/>
                    </w:rPr>
                  </w:pPr>
                  <w:r w:rsidRPr="00374A46">
                    <w:rPr>
                      <w:rFonts w:ascii="Times New Roman" w:hAnsi="Times New Roman" w:cs="Times New Roman"/>
                      <w:sz w:val="28"/>
                      <w:szCs w:val="28"/>
                    </w:rPr>
                    <w:t>20.11.2024</w:t>
                  </w:r>
                </w:p>
              </w:tc>
              <w:tc>
                <w:tcPr>
                  <w:tcW w:w="4776" w:type="dxa"/>
                </w:tcPr>
                <w:p w:rsidR="006F3FD4" w:rsidRPr="00374A46" w:rsidRDefault="006F3FD4" w:rsidP="006F3FD4">
                  <w:pPr>
                    <w:pStyle w:val="ConsPlusNonformat"/>
                    <w:jc w:val="both"/>
                    <w:rPr>
                      <w:rFonts w:ascii="Times New Roman" w:hAnsi="Times New Roman" w:cs="Times New Roman"/>
                      <w:sz w:val="28"/>
                      <w:szCs w:val="28"/>
                    </w:rPr>
                  </w:pPr>
                </w:p>
              </w:tc>
              <w:tc>
                <w:tcPr>
                  <w:tcW w:w="1819" w:type="dxa"/>
                  <w:shd w:val="clear" w:color="auto" w:fill="auto"/>
                </w:tcPr>
                <w:p w:rsidR="006F3FD4" w:rsidRPr="00374A46" w:rsidRDefault="006F3FD4" w:rsidP="006F3FD4">
                  <w:pPr>
                    <w:pStyle w:val="ConsPlusNonformat"/>
                    <w:jc w:val="both"/>
                    <w:rPr>
                      <w:rFonts w:ascii="Times New Roman" w:hAnsi="Times New Roman" w:cs="Times New Roman"/>
                      <w:sz w:val="28"/>
                      <w:szCs w:val="28"/>
                    </w:rPr>
                  </w:pPr>
                  <w:r w:rsidRPr="00374A46">
                    <w:rPr>
                      <w:rFonts w:ascii="Times New Roman" w:hAnsi="Times New Roman" w:cs="Times New Roman"/>
                      <w:sz w:val="28"/>
                      <w:szCs w:val="28"/>
                    </w:rPr>
                    <w:t xml:space="preserve">       № 1918-п</w:t>
                  </w:r>
                </w:p>
              </w:tc>
            </w:tr>
          </w:tbl>
          <w:p w:rsidR="006F3FD4" w:rsidRDefault="006F3FD4" w:rsidP="006F3FD4"/>
        </w:tc>
        <w:tc>
          <w:tcPr>
            <w:tcW w:w="5404" w:type="dxa"/>
          </w:tcPr>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6F3FD4" w:rsidRPr="00374A46" w:rsidTr="00B31CD8">
              <w:trPr>
                <w:cantSplit/>
                <w:trHeight w:val="232"/>
              </w:trPr>
              <w:tc>
                <w:tcPr>
                  <w:tcW w:w="3119" w:type="dxa"/>
                </w:tcPr>
                <w:p w:rsidR="006F3FD4" w:rsidRPr="00374A46" w:rsidRDefault="006F3FD4" w:rsidP="006F3FD4">
                  <w:pPr>
                    <w:pStyle w:val="ConsPlusNonformat"/>
                    <w:jc w:val="both"/>
                    <w:rPr>
                      <w:rFonts w:ascii="Times New Roman" w:hAnsi="Times New Roman" w:cs="Times New Roman"/>
                      <w:sz w:val="28"/>
                      <w:szCs w:val="28"/>
                    </w:rPr>
                  </w:pPr>
                </w:p>
              </w:tc>
              <w:tc>
                <w:tcPr>
                  <w:tcW w:w="4776" w:type="dxa"/>
                </w:tcPr>
                <w:p w:rsidR="006F3FD4" w:rsidRPr="00374A46" w:rsidRDefault="006F3FD4" w:rsidP="006F3FD4">
                  <w:pPr>
                    <w:pStyle w:val="ConsPlusNonformat"/>
                    <w:jc w:val="both"/>
                    <w:rPr>
                      <w:rFonts w:ascii="Times New Roman" w:hAnsi="Times New Roman" w:cs="Times New Roman"/>
                      <w:sz w:val="28"/>
                      <w:szCs w:val="28"/>
                    </w:rPr>
                  </w:pPr>
                </w:p>
              </w:tc>
              <w:tc>
                <w:tcPr>
                  <w:tcW w:w="1819" w:type="dxa"/>
                  <w:shd w:val="clear" w:color="auto" w:fill="auto"/>
                </w:tcPr>
                <w:p w:rsidR="006F3FD4" w:rsidRPr="00374A46" w:rsidRDefault="006F3FD4" w:rsidP="006F3FD4">
                  <w:pPr>
                    <w:pStyle w:val="ConsPlusNonformat"/>
                    <w:jc w:val="both"/>
                    <w:rPr>
                      <w:rFonts w:ascii="Times New Roman" w:hAnsi="Times New Roman" w:cs="Times New Roman"/>
                      <w:sz w:val="28"/>
                      <w:szCs w:val="28"/>
                    </w:rPr>
                  </w:pPr>
                  <w:r w:rsidRPr="00374A46">
                    <w:rPr>
                      <w:rFonts w:ascii="Times New Roman" w:hAnsi="Times New Roman" w:cs="Times New Roman"/>
                      <w:sz w:val="28"/>
                      <w:szCs w:val="28"/>
                    </w:rPr>
                    <w:t xml:space="preserve">       № 1918-п</w:t>
                  </w:r>
                </w:p>
              </w:tc>
            </w:tr>
          </w:tbl>
          <w:p w:rsidR="006F3FD4" w:rsidRDefault="006F3FD4" w:rsidP="006F3FD4"/>
        </w:tc>
        <w:tc>
          <w:tcPr>
            <w:tcW w:w="1800" w:type="dxa"/>
          </w:tcPr>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6F3FD4" w:rsidRPr="00374A46" w:rsidTr="00B31CD8">
              <w:trPr>
                <w:cantSplit/>
                <w:trHeight w:val="232"/>
              </w:trPr>
              <w:tc>
                <w:tcPr>
                  <w:tcW w:w="3119" w:type="dxa"/>
                </w:tcPr>
                <w:p w:rsidR="006F3FD4" w:rsidRPr="00374A46" w:rsidRDefault="006F3FD4" w:rsidP="006F3FD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1919-п</w:t>
                  </w:r>
                </w:p>
              </w:tc>
              <w:tc>
                <w:tcPr>
                  <w:tcW w:w="4776" w:type="dxa"/>
                </w:tcPr>
                <w:p w:rsidR="006F3FD4" w:rsidRPr="00374A46" w:rsidRDefault="006F3FD4" w:rsidP="006F3FD4">
                  <w:pPr>
                    <w:pStyle w:val="ConsPlusNonformat"/>
                    <w:jc w:val="both"/>
                    <w:rPr>
                      <w:rFonts w:ascii="Times New Roman" w:hAnsi="Times New Roman" w:cs="Times New Roman"/>
                      <w:sz w:val="28"/>
                      <w:szCs w:val="28"/>
                    </w:rPr>
                  </w:pPr>
                </w:p>
              </w:tc>
              <w:tc>
                <w:tcPr>
                  <w:tcW w:w="1819" w:type="dxa"/>
                  <w:shd w:val="clear" w:color="auto" w:fill="auto"/>
                </w:tcPr>
                <w:p w:rsidR="006F3FD4" w:rsidRPr="00374A46" w:rsidRDefault="006F3FD4" w:rsidP="006F3FD4">
                  <w:pPr>
                    <w:pStyle w:val="ConsPlusNonformat"/>
                    <w:jc w:val="both"/>
                    <w:rPr>
                      <w:rFonts w:ascii="Times New Roman" w:hAnsi="Times New Roman" w:cs="Times New Roman"/>
                      <w:sz w:val="28"/>
                      <w:szCs w:val="28"/>
                    </w:rPr>
                  </w:pPr>
                  <w:r w:rsidRPr="00374A46">
                    <w:rPr>
                      <w:rFonts w:ascii="Times New Roman" w:hAnsi="Times New Roman" w:cs="Times New Roman"/>
                      <w:sz w:val="28"/>
                      <w:szCs w:val="28"/>
                    </w:rPr>
                    <w:t xml:space="preserve">       № 1918-п</w:t>
                  </w:r>
                </w:p>
              </w:tc>
            </w:tr>
          </w:tbl>
          <w:p w:rsidR="006F3FD4" w:rsidRDefault="006F3FD4" w:rsidP="006F3FD4"/>
        </w:tc>
      </w:tr>
    </w:tbl>
    <w:p w:rsidR="002E6AA9" w:rsidRDefault="005F1D59" w:rsidP="00EF2F40">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0104FF" w:rsidRPr="00B035BA">
        <w:rPr>
          <w:sz w:val="28"/>
          <w:szCs w:val="28"/>
        </w:rPr>
        <w:t xml:space="preserve">от 16.04.2024 № 747-п, от 09.07.2024 </w:t>
      </w:r>
      <w:r w:rsidR="00C0732C">
        <w:rPr>
          <w:sz w:val="28"/>
          <w:szCs w:val="28"/>
        </w:rPr>
        <w:t xml:space="preserve"> </w:t>
      </w:r>
      <w:r w:rsidR="000104FF" w:rsidRPr="00B035BA">
        <w:rPr>
          <w:sz w:val="28"/>
          <w:szCs w:val="28"/>
        </w:rPr>
        <w:t>№ 1297-п</w:t>
      </w:r>
      <w:r w:rsidR="00C0732C">
        <w:rPr>
          <w:sz w:val="28"/>
          <w:szCs w:val="28"/>
        </w:rPr>
        <w:t xml:space="preserve">, </w:t>
      </w:r>
      <w:r w:rsidR="00C0732C" w:rsidRPr="00C0732C">
        <w:rPr>
          <w:sz w:val="28"/>
          <w:szCs w:val="28"/>
        </w:rPr>
        <w:t>от 28.08.2024</w:t>
      </w:r>
      <w:r w:rsidR="00C0732C">
        <w:rPr>
          <w:sz w:val="28"/>
          <w:szCs w:val="28"/>
        </w:rPr>
        <w:t xml:space="preserve"> №</w:t>
      </w:r>
      <w:r w:rsidR="009B4298">
        <w:rPr>
          <w:sz w:val="28"/>
          <w:szCs w:val="28"/>
        </w:rPr>
        <w:t xml:space="preserve"> </w:t>
      </w:r>
      <w:r w:rsidR="00C0732C" w:rsidRPr="00C0732C">
        <w:rPr>
          <w:sz w:val="28"/>
          <w:szCs w:val="28"/>
        </w:rPr>
        <w:t>1550-п</w:t>
      </w:r>
      <w:r w:rsidR="00F10F5C" w:rsidRPr="00BB0268">
        <w:rPr>
          <w:sz w:val="28"/>
          <w:szCs w:val="28"/>
        </w:rPr>
        <w:t>) 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w:t>
      </w:r>
      <w:proofErr w:type="gramStart"/>
      <w:r w:rsidRPr="00BB0268">
        <w:rPr>
          <w:sz w:val="28"/>
          <w:szCs w:val="28"/>
        </w:rPr>
        <w:t>1.</w:t>
      </w:r>
      <w:r w:rsidR="00EF2F40">
        <w:rPr>
          <w:sz w:val="28"/>
          <w:szCs w:val="28"/>
        </w:rPr>
        <w:t>С</w:t>
      </w:r>
      <w:r w:rsidR="00EF2F40" w:rsidRPr="00BB0268">
        <w:rPr>
          <w:sz w:val="28"/>
          <w:szCs w:val="28"/>
        </w:rPr>
        <w:t>троку</w:t>
      </w:r>
      <w:proofErr w:type="gramEnd"/>
      <w:r w:rsidR="00EF2F40" w:rsidRPr="00BB0268">
        <w:rPr>
          <w:sz w:val="28"/>
          <w:szCs w:val="28"/>
        </w:rPr>
        <w:t xml:space="preserve"> «</w:t>
      </w:r>
      <w:r w:rsidR="00EF2F40" w:rsidRPr="00BB0268">
        <w:rPr>
          <w:rFonts w:eastAsiaTheme="minorEastAsia"/>
          <w:sz w:val="28"/>
          <w:szCs w:val="28"/>
        </w:rPr>
        <w:t>Объемы финансового обеспечения за весь период реализации</w:t>
      </w:r>
      <w:r w:rsidR="00EF2F40" w:rsidRPr="00BB0268">
        <w:rPr>
          <w:sz w:val="28"/>
          <w:szCs w:val="28"/>
        </w:rPr>
        <w:t>»</w:t>
      </w:r>
      <w:r w:rsidR="00EF2F40">
        <w:rPr>
          <w:sz w:val="28"/>
          <w:szCs w:val="28"/>
        </w:rPr>
        <w:t xml:space="preserve">  паспорта</w:t>
      </w:r>
      <w:r w:rsidRPr="00BB0268">
        <w:rPr>
          <w:sz w:val="28"/>
          <w:szCs w:val="28"/>
        </w:rPr>
        <w:t xml:space="preserve"> муниципальной программы «Управление муниципальными финансами города Нефтеюганска»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BA35CF" w:rsidP="008E4F3F">
            <w:pPr>
              <w:rPr>
                <w:rFonts w:eastAsiaTheme="minorEastAsia"/>
                <w:sz w:val="28"/>
                <w:szCs w:val="28"/>
              </w:rPr>
            </w:pPr>
            <w:r w:rsidRPr="00BA35CF">
              <w:rPr>
                <w:rFonts w:eastAsiaTheme="minorEastAsia"/>
                <w:sz w:val="28"/>
                <w:szCs w:val="28"/>
              </w:rPr>
              <w:t>680 097,741</w:t>
            </w:r>
            <w:r>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w:t>
      </w:r>
      <w:proofErr w:type="gramStart"/>
      <w:r w:rsidRPr="00BB0268">
        <w:rPr>
          <w:sz w:val="28"/>
          <w:szCs w:val="28"/>
        </w:rPr>
        <w:t>2.Таблицу</w:t>
      </w:r>
      <w:proofErr w:type="gramEnd"/>
      <w:r w:rsidRPr="00BB0268">
        <w:rPr>
          <w:sz w:val="28"/>
          <w:szCs w:val="28"/>
        </w:rPr>
        <w:t xml:space="preserve">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935FC9" w:rsidRPr="006F6273" w:rsidRDefault="00935FC9" w:rsidP="00935FC9">
      <w:pPr>
        <w:pStyle w:val="210"/>
        <w:ind w:firstLine="709"/>
        <w:jc w:val="both"/>
        <w:rPr>
          <w:color w:val="FF0000"/>
          <w:szCs w:val="28"/>
        </w:rPr>
      </w:pPr>
      <w:r>
        <w:rPr>
          <w:szCs w:val="28"/>
        </w:rPr>
        <w:t>3.Постановление вступает в силу с 01.01.2025 и распространяет свое действие на правоотношения, связанные с формированием бюджета муниципального образования на 2025 год и на плановый период 2026 и              2027 годов.</w:t>
      </w:r>
    </w:p>
    <w:p w:rsidR="00D12D24" w:rsidRPr="00BB0268" w:rsidRDefault="00D12D24" w:rsidP="00935FC9">
      <w:pPr>
        <w:shd w:val="clear" w:color="auto" w:fill="FFFFFF"/>
        <w:jc w:val="both"/>
        <w:rPr>
          <w:sz w:val="28"/>
          <w:szCs w:val="28"/>
        </w:rPr>
      </w:pPr>
    </w:p>
    <w:p w:rsidR="00EA534D" w:rsidRPr="00545710" w:rsidRDefault="00EA534D" w:rsidP="00D12D24">
      <w:pPr>
        <w:shd w:val="clear" w:color="auto" w:fill="FFFFFF"/>
        <w:ind w:firstLine="709"/>
        <w:jc w:val="both"/>
        <w:rPr>
          <w:szCs w:val="28"/>
        </w:rPr>
      </w:pPr>
    </w:p>
    <w:p w:rsidR="007A276A" w:rsidRDefault="007A276A" w:rsidP="007A276A">
      <w:pPr>
        <w:pStyle w:val="210"/>
        <w:rPr>
          <w:rFonts w:ascii="Times New Roman CYR" w:hAnsi="Times New Roman CYR"/>
        </w:rPr>
      </w:pPr>
      <w:r>
        <w:rPr>
          <w:rFonts w:ascii="Times New Roman CYR" w:hAnsi="Times New Roman CYR"/>
        </w:rPr>
        <w:t>Исполняющий обязанности</w:t>
      </w:r>
    </w:p>
    <w:p w:rsidR="007A276A" w:rsidRDefault="007A276A" w:rsidP="007A276A">
      <w:pPr>
        <w:pStyle w:val="210"/>
        <w:rPr>
          <w:rFonts w:ascii="Times New Roman CYR" w:hAnsi="Times New Roman CYR"/>
        </w:rPr>
      </w:pPr>
      <w:r>
        <w:rPr>
          <w:rFonts w:ascii="Times New Roman CYR" w:hAnsi="Times New Roman CYR"/>
        </w:rPr>
        <w:t xml:space="preserve">главы города Нефтеюганска                                                                  </w:t>
      </w:r>
      <w:proofErr w:type="spellStart"/>
      <w:r>
        <w:rPr>
          <w:rFonts w:ascii="Times New Roman CYR" w:hAnsi="Times New Roman CYR"/>
        </w:rPr>
        <w:t>П.В.Гусенков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6F3FD4" w:rsidRPr="00374A46">
        <w:rPr>
          <w:sz w:val="28"/>
          <w:szCs w:val="28"/>
        </w:rPr>
        <w:t>20.11.2024</w:t>
      </w:r>
      <w:r w:rsidRPr="00545710">
        <w:rPr>
          <w:rFonts w:eastAsia="Calibri"/>
          <w:sz w:val="28"/>
          <w:szCs w:val="28"/>
        </w:rPr>
        <w:t xml:space="preserve"> </w:t>
      </w:r>
      <w:r w:rsidRPr="00545710">
        <w:rPr>
          <w:spacing w:val="-8"/>
          <w:sz w:val="28"/>
          <w:szCs w:val="28"/>
        </w:rPr>
        <w:t xml:space="preserve">№ </w:t>
      </w:r>
      <w:r w:rsidR="006F3FD4">
        <w:rPr>
          <w:spacing w:val="-8"/>
          <w:sz w:val="28"/>
          <w:szCs w:val="28"/>
        </w:rPr>
        <w:t>1919-п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935FC9" w:rsidRPr="00DE005A" w:rsidTr="00935FC9">
        <w:trPr>
          <w:trHeight w:val="353"/>
        </w:trPr>
        <w:tc>
          <w:tcPr>
            <w:tcW w:w="5240" w:type="dxa"/>
            <w:vMerge w:val="restart"/>
            <w:tcBorders>
              <w:top w:val="single" w:sz="4" w:space="0" w:color="000000"/>
              <w:lef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935FC9" w:rsidRPr="00DE005A" w:rsidRDefault="00935FC9"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935FC9" w:rsidRPr="00DE005A" w:rsidTr="00935FC9">
        <w:trPr>
          <w:trHeight w:val="328"/>
        </w:trPr>
        <w:tc>
          <w:tcPr>
            <w:tcW w:w="5240" w:type="dxa"/>
            <w:vMerge/>
            <w:tcBorders>
              <w:left w:val="single" w:sz="4" w:space="0" w:color="000000"/>
              <w:bottom w:val="single" w:sz="4" w:space="0" w:color="000000"/>
            </w:tcBorders>
            <w:vAlign w:val="center"/>
          </w:tcPr>
          <w:p w:rsidR="00935FC9" w:rsidRPr="00DE005A" w:rsidRDefault="00935FC9" w:rsidP="00496B04">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F87D2A">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935FC9">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Всего</w:t>
            </w:r>
          </w:p>
        </w:tc>
      </w:tr>
      <w:tr w:rsidR="00935FC9" w:rsidRPr="00DE005A" w:rsidTr="00935FC9">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AD44F9" w:rsidRDefault="00935FC9" w:rsidP="00496B04">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Default="00935FC9" w:rsidP="00496B04">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7</w:t>
            </w:r>
          </w:p>
        </w:tc>
      </w:tr>
      <w:tr w:rsidR="00935FC9" w:rsidRPr="005B68A7" w:rsidTr="00237003">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0104FF">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935FC9" w:rsidP="000104FF">
            <w:pPr>
              <w:jc w:val="center"/>
              <w:rPr>
                <w:rFonts w:eastAsiaTheme="minorEastAsia"/>
                <w:i/>
              </w:rPr>
            </w:pPr>
            <w:r w:rsidRPr="000104FF">
              <w:rPr>
                <w:rFonts w:eastAsiaTheme="minorEastAsia"/>
                <w:i/>
              </w:rPr>
              <w:t>89 497,041</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90673E" w:rsidP="000104FF">
            <w:pPr>
              <w:jc w:val="center"/>
              <w:rPr>
                <w:rFonts w:eastAsiaTheme="minorEastAsia"/>
                <w:i/>
              </w:rPr>
            </w:pPr>
            <w:r w:rsidRPr="0090673E">
              <w:rPr>
                <w:rFonts w:eastAsiaTheme="minorEastAsia"/>
                <w:i/>
              </w:rPr>
              <w:t>89 852,500</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8546B6" w:rsidP="00D77DD1">
            <w:pPr>
              <w:jc w:val="center"/>
              <w:rPr>
                <w:rFonts w:eastAsiaTheme="minorEastAsia"/>
                <w:i/>
              </w:rPr>
            </w:pPr>
            <w:r w:rsidRPr="008546B6">
              <w:rPr>
                <w:rFonts w:eastAsiaTheme="minorEastAsia"/>
                <w:i/>
              </w:rPr>
              <w:t>90 718, 800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8546B6" w:rsidP="000104FF">
            <w:pPr>
              <w:jc w:val="center"/>
              <w:rPr>
                <w:rFonts w:eastAsiaTheme="minorEastAsia"/>
                <w:i/>
              </w:rPr>
            </w:pPr>
            <w:r w:rsidRPr="008546B6">
              <w:rPr>
                <w:rFonts w:eastAsiaTheme="minorEastAsia"/>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237003" w:rsidP="00B035BA">
            <w:pPr>
              <w:jc w:val="center"/>
              <w:rPr>
                <w:rFonts w:eastAsiaTheme="minorEastAsia"/>
                <w:i/>
              </w:rPr>
            </w:pPr>
            <w:r w:rsidRPr="00237003">
              <w:rPr>
                <w:rFonts w:eastAsiaTheme="minorEastAsia"/>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237003" w:rsidP="00B035BA">
            <w:pPr>
              <w:jc w:val="center"/>
              <w:rPr>
                <w:rFonts w:eastAsiaTheme="minorEastAsia"/>
                <w:i/>
              </w:rPr>
            </w:pPr>
            <w:r w:rsidRPr="00237003">
              <w:rPr>
                <w:rFonts w:eastAsiaTheme="minorEastAsia"/>
                <w:i/>
              </w:rPr>
              <w:t>680 097,741</w:t>
            </w:r>
          </w:p>
        </w:tc>
      </w:tr>
      <w:tr w:rsidR="00935FC9" w:rsidRPr="00DE005A" w:rsidTr="00237003">
        <w:trPr>
          <w:trHeight w:val="266"/>
        </w:trPr>
        <w:tc>
          <w:tcPr>
            <w:tcW w:w="5240" w:type="dxa"/>
            <w:tcBorders>
              <w:top w:val="single" w:sz="4" w:space="0" w:color="000000"/>
              <w:left w:val="single" w:sz="4" w:space="0" w:color="000000"/>
              <w:bottom w:val="single" w:sz="4" w:space="0" w:color="000000"/>
            </w:tcBorders>
            <w:vAlign w:val="center"/>
          </w:tcPr>
          <w:p w:rsidR="00935FC9" w:rsidRPr="0016696E" w:rsidRDefault="00935FC9" w:rsidP="00B035BA">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935FC9" w:rsidP="00B035BA">
            <w:pPr>
              <w:jc w:val="center"/>
              <w:rPr>
                <w:rFonts w:eastAsiaTheme="minorEastAsia"/>
                <w:i/>
              </w:rPr>
            </w:pPr>
            <w:r w:rsidRPr="000104FF">
              <w:rPr>
                <w:rFonts w:eastAsiaTheme="minorEastAsia"/>
                <w:i/>
              </w:rPr>
              <w:t>89 497,041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90673E" w:rsidP="00B035BA">
            <w:pPr>
              <w:jc w:val="center"/>
              <w:rPr>
                <w:rFonts w:eastAsiaTheme="minorEastAsia"/>
              </w:rPr>
            </w:pPr>
            <w:r w:rsidRPr="0090673E">
              <w:rPr>
                <w:rFonts w:eastAsiaTheme="minorEastAsia"/>
              </w:rPr>
              <w:t>89 852,500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8546B6" w:rsidP="00B035BA">
            <w:pPr>
              <w:jc w:val="center"/>
              <w:rPr>
                <w:rFonts w:eastAsiaTheme="minorEastAsia"/>
              </w:rPr>
            </w:pPr>
            <w:r w:rsidRPr="008546B6">
              <w:rPr>
                <w:rFonts w:eastAsiaTheme="minorEastAsia"/>
              </w:rPr>
              <w:t>90 718, 800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8546B6" w:rsidP="00B035BA">
            <w:pPr>
              <w:jc w:val="center"/>
              <w:rPr>
                <w:rFonts w:eastAsiaTheme="minorEastAsia"/>
              </w:rPr>
            </w:pPr>
            <w:r w:rsidRPr="008546B6">
              <w:rPr>
                <w:rFonts w:eastAsiaTheme="minorEastAsia"/>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237003" w:rsidP="00B035BA">
            <w:pPr>
              <w:jc w:val="center"/>
              <w:rPr>
                <w:rFonts w:eastAsiaTheme="minorEastAsia"/>
                <w:i/>
              </w:rPr>
            </w:pPr>
            <w:r w:rsidRPr="00237003">
              <w:rPr>
                <w:rFonts w:eastAsiaTheme="minorEastAsia"/>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237003" w:rsidP="00B035BA">
            <w:pPr>
              <w:jc w:val="center"/>
              <w:rPr>
                <w:rFonts w:eastAsiaTheme="minorEastAsia"/>
              </w:rPr>
            </w:pPr>
            <w:r w:rsidRPr="00237003">
              <w:rPr>
                <w:rFonts w:eastAsiaTheme="minorEastAsia"/>
              </w:rPr>
              <w:t>680 097,741</w:t>
            </w:r>
          </w:p>
        </w:tc>
      </w:tr>
      <w:tr w:rsidR="00935FC9" w:rsidRPr="00DE005A" w:rsidTr="00237003">
        <w:trPr>
          <w:trHeight w:val="464"/>
        </w:trPr>
        <w:tc>
          <w:tcPr>
            <w:tcW w:w="5240" w:type="dxa"/>
            <w:tcBorders>
              <w:top w:val="single" w:sz="4" w:space="0" w:color="000000"/>
              <w:left w:val="single" w:sz="4" w:space="0" w:color="000000"/>
              <w:bottom w:val="single" w:sz="4" w:space="0" w:color="000000"/>
            </w:tcBorders>
            <w:vAlign w:val="center"/>
          </w:tcPr>
          <w:p w:rsidR="00935FC9" w:rsidRPr="006D39FB" w:rsidRDefault="00935FC9" w:rsidP="000104FF">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935FC9" w:rsidP="00B035BA">
            <w:pPr>
              <w:jc w:val="center"/>
              <w:rPr>
                <w:rFonts w:eastAsiaTheme="minorEastAsia"/>
                <w:i/>
              </w:rPr>
            </w:pPr>
            <w:r>
              <w:rPr>
                <w:rFonts w:eastAsiaTheme="minorEastAsia"/>
                <w:i/>
              </w:rPr>
              <w:t>89 497,041</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935FC9" w:rsidP="000104FF">
            <w:pPr>
              <w:jc w:val="center"/>
              <w:rPr>
                <w:rFonts w:eastAsiaTheme="minorEastAsia"/>
                <w:i/>
              </w:rPr>
            </w:pPr>
            <w:r>
              <w:rPr>
                <w:rFonts w:eastAsiaTheme="minorEastAsia"/>
                <w:i/>
              </w:rPr>
              <w:t>89 852,500</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8546B6" w:rsidP="000104FF">
            <w:pPr>
              <w:jc w:val="center"/>
              <w:rPr>
                <w:rFonts w:eastAsiaTheme="minorEastAsia"/>
                <w:i/>
              </w:rPr>
            </w:pPr>
            <w:r w:rsidRPr="008546B6">
              <w:rPr>
                <w:rFonts w:eastAsiaTheme="minorEastAsia"/>
                <w:i/>
              </w:rPr>
              <w:t>90 718, 800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8546B6" w:rsidP="000104FF">
            <w:pPr>
              <w:jc w:val="center"/>
              <w:rPr>
                <w:rFonts w:eastAsiaTheme="minorEastAsia"/>
                <w:i/>
              </w:rPr>
            </w:pPr>
            <w:r w:rsidRPr="008546B6">
              <w:rPr>
                <w:rFonts w:eastAsiaTheme="minorEastAsia"/>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237003" w:rsidP="000104FF">
            <w:pPr>
              <w:jc w:val="center"/>
              <w:rPr>
                <w:rFonts w:eastAsiaTheme="minorEastAsia"/>
                <w:i/>
              </w:rPr>
            </w:pPr>
            <w:r w:rsidRPr="00237003">
              <w:rPr>
                <w:rFonts w:eastAsiaTheme="minorEastAsia"/>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237003" w:rsidP="000104FF">
            <w:pPr>
              <w:jc w:val="center"/>
              <w:rPr>
                <w:rFonts w:eastAsiaTheme="minorEastAsia"/>
                <w:i/>
              </w:rPr>
            </w:pPr>
            <w:r w:rsidRPr="00237003">
              <w:rPr>
                <w:rFonts w:eastAsiaTheme="minorEastAsia"/>
                <w:i/>
              </w:rPr>
              <w:t>638 052,741</w:t>
            </w:r>
          </w:p>
        </w:tc>
      </w:tr>
      <w:tr w:rsidR="00935FC9" w:rsidRPr="0063133E" w:rsidTr="00237003">
        <w:trPr>
          <w:trHeight w:val="266"/>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0104FF">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935FC9" w:rsidP="00B035BA">
            <w:pPr>
              <w:jc w:val="center"/>
              <w:rPr>
                <w:rFonts w:eastAsiaTheme="minorEastAsia"/>
              </w:rPr>
            </w:pPr>
            <w:r w:rsidRPr="000104FF">
              <w:rPr>
                <w:rFonts w:eastAsiaTheme="minorEastAsia"/>
              </w:rPr>
              <w:t>8</w:t>
            </w:r>
            <w:r>
              <w:rPr>
                <w:rFonts w:eastAsiaTheme="minorEastAsia"/>
              </w:rPr>
              <w:t>9 497</w:t>
            </w:r>
            <w:r w:rsidRPr="000104FF">
              <w:rPr>
                <w:rFonts w:eastAsiaTheme="minorEastAsia"/>
              </w:rPr>
              <w:t>,</w:t>
            </w:r>
            <w:r>
              <w:rPr>
                <w:rFonts w:eastAsiaTheme="minorEastAsia"/>
              </w:rPr>
              <w:t>041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935FC9" w:rsidP="000104FF">
            <w:pPr>
              <w:jc w:val="center"/>
              <w:rPr>
                <w:rFonts w:eastAsiaTheme="minorEastAsia"/>
              </w:rPr>
            </w:pPr>
            <w:r w:rsidRPr="00935FC9">
              <w:rPr>
                <w:rFonts w:eastAsiaTheme="minorEastAsia"/>
              </w:rPr>
              <w:t>89 852,500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935FC9" w:rsidP="00935FC9">
            <w:pPr>
              <w:jc w:val="center"/>
              <w:rPr>
                <w:rFonts w:eastAsiaTheme="minorEastAsia"/>
              </w:rPr>
            </w:pPr>
            <w:r w:rsidRPr="00935FC9">
              <w:rPr>
                <w:rFonts w:eastAsiaTheme="minorEastAsia"/>
              </w:rPr>
              <w:t>90</w:t>
            </w:r>
            <w:r>
              <w:rPr>
                <w:rFonts w:eastAsiaTheme="minorEastAsia"/>
              </w:rPr>
              <w:t> </w:t>
            </w:r>
            <w:r w:rsidRPr="00935FC9">
              <w:rPr>
                <w:rFonts w:eastAsiaTheme="minorEastAsia"/>
              </w:rPr>
              <w:t>718</w:t>
            </w:r>
            <w:r>
              <w:rPr>
                <w:rFonts w:eastAsiaTheme="minorEastAsia"/>
              </w:rPr>
              <w:t xml:space="preserve">, </w:t>
            </w:r>
            <w:r w:rsidRPr="00935FC9">
              <w:rPr>
                <w:rFonts w:eastAsiaTheme="minorEastAsia"/>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8546B6" w:rsidP="000104FF">
            <w:pPr>
              <w:jc w:val="center"/>
              <w:rPr>
                <w:rFonts w:eastAsiaTheme="minorEastAsia"/>
              </w:rPr>
            </w:pPr>
            <w:r w:rsidRPr="008546B6">
              <w:rPr>
                <w:rFonts w:eastAsiaTheme="minorEastAsia"/>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0104FF" w:rsidRDefault="00237003" w:rsidP="000104FF">
            <w:pPr>
              <w:jc w:val="center"/>
              <w:rPr>
                <w:rFonts w:eastAsiaTheme="minorEastAsia"/>
              </w:rPr>
            </w:pPr>
            <w:r w:rsidRPr="00237003">
              <w:rPr>
                <w:rFonts w:eastAsiaTheme="minorEastAsia"/>
              </w:rPr>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0104FF" w:rsidRDefault="00237003" w:rsidP="000104FF">
            <w:pPr>
              <w:jc w:val="center"/>
              <w:rPr>
                <w:rFonts w:eastAsiaTheme="minorEastAsia"/>
              </w:rPr>
            </w:pPr>
            <w:r w:rsidRPr="00237003">
              <w:rPr>
                <w:rFonts w:eastAsiaTheme="minorEastAsia"/>
              </w:rPr>
              <w:t>638 052,741</w:t>
            </w:r>
          </w:p>
        </w:tc>
      </w:tr>
      <w:tr w:rsidR="00935FC9" w:rsidRPr="00DE005A" w:rsidTr="00237003">
        <w:trPr>
          <w:trHeight w:val="302"/>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935FC9"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935FC9" w:rsidP="00771838">
            <w:pPr>
              <w:jc w:val="center"/>
              <w:rPr>
                <w:rFonts w:eastAsiaTheme="minorEastAsia"/>
                <w:i/>
              </w:rPr>
            </w:pPr>
            <w:r w:rsidRPr="005B68A7">
              <w:rPr>
                <w:rFonts w:eastAsiaTheme="minorEastAsia"/>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935FC9" w:rsidP="00771838">
            <w:pPr>
              <w:jc w:val="center"/>
              <w:rPr>
                <w:rFonts w:eastAsiaTheme="minorEastAsia"/>
                <w:i/>
              </w:rPr>
            </w:pPr>
            <w:r>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8546B6" w:rsidP="008546B6">
            <w:pPr>
              <w:jc w:val="center"/>
              <w:rPr>
                <w:rFonts w:eastAsiaTheme="minorEastAsia"/>
                <w:i/>
              </w:rPr>
            </w:pPr>
            <w:r>
              <w:rPr>
                <w:rFonts w:eastAsiaTheme="minorEastAsia"/>
                <w:i/>
              </w:rPr>
              <w:t>20 00</w:t>
            </w:r>
            <w:r w:rsidR="00935FC9">
              <w:rPr>
                <w:rFonts w:eastAsiaTheme="minorEastAsia"/>
                <w:i/>
              </w:rPr>
              <w:t>0</w:t>
            </w:r>
            <w:r w:rsidR="00935FC9" w:rsidRPr="005B68A7">
              <w:rPr>
                <w:rFonts w:eastAsiaTheme="minorEastAsia"/>
                <w:i/>
              </w:rPr>
              <w:t>,</w:t>
            </w:r>
            <w:r>
              <w:rPr>
                <w:rFonts w:eastAsiaTheme="minorEastAsia"/>
                <w:i/>
              </w:rPr>
              <w:t>0</w:t>
            </w:r>
            <w:r w:rsidR="00935FC9" w:rsidRPr="005B68A7">
              <w:rPr>
                <w:rFonts w:eastAsiaTheme="minorEastAsia"/>
                <w:i/>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237003" w:rsidP="00771838">
            <w:pPr>
              <w:jc w:val="center"/>
              <w:rPr>
                <w:rFonts w:eastAsiaTheme="minorEastAsia"/>
                <w:i/>
              </w:rPr>
            </w:pPr>
            <w:r w:rsidRPr="00237003">
              <w:rPr>
                <w:rFonts w:eastAsiaTheme="minorEastAsia"/>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5B68A7" w:rsidRDefault="00237003" w:rsidP="00771838">
            <w:pPr>
              <w:jc w:val="center"/>
              <w:rPr>
                <w:rFonts w:eastAsiaTheme="minorEastAsia"/>
                <w:i/>
              </w:rPr>
            </w:pPr>
            <w:r w:rsidRPr="00237003">
              <w:rPr>
                <w:rFonts w:eastAsiaTheme="minorEastAsia"/>
                <w:i/>
              </w:rPr>
              <w:t>42 045,000</w:t>
            </w:r>
          </w:p>
        </w:tc>
      </w:tr>
      <w:tr w:rsidR="00935FC9" w:rsidRPr="0063133E" w:rsidTr="00237003">
        <w:trPr>
          <w:trHeight w:val="266"/>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771838">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771838" w:rsidRDefault="00935FC9"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771838" w:rsidRDefault="00935FC9" w:rsidP="00771838">
            <w:pPr>
              <w:jc w:val="center"/>
              <w:rPr>
                <w:rFonts w:eastAsiaTheme="minorEastAsia"/>
              </w:rPr>
            </w:pPr>
            <w:r w:rsidRPr="00771838">
              <w:rPr>
                <w:rFonts w:eastAsiaTheme="minorEastAsia"/>
              </w:rPr>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771838" w:rsidRDefault="00935FC9" w:rsidP="00771838">
            <w:pPr>
              <w:jc w:val="center"/>
              <w:rPr>
                <w:rFonts w:eastAsiaTheme="minorEastAsia"/>
              </w:rPr>
            </w:pPr>
            <w:r>
              <w:rPr>
                <w:rFonts w:eastAsiaTheme="minorEastAsia"/>
              </w:rPr>
              <w:t>0</w:t>
            </w:r>
            <w:r w:rsidRPr="00771838">
              <w:rPr>
                <w:rFonts w:eastAsiaTheme="minorEastAsia"/>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771838" w:rsidRDefault="008546B6" w:rsidP="00935FC9">
            <w:pPr>
              <w:jc w:val="center"/>
              <w:rPr>
                <w:rFonts w:eastAsiaTheme="minorEastAsia"/>
              </w:rPr>
            </w:pPr>
            <w:r w:rsidRPr="008546B6">
              <w:rPr>
                <w:rFonts w:eastAsiaTheme="minorEastAsia"/>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771838" w:rsidRDefault="00237003" w:rsidP="00771838">
            <w:pPr>
              <w:jc w:val="center"/>
              <w:rPr>
                <w:rFonts w:eastAsiaTheme="minorEastAsia"/>
              </w:rPr>
            </w:pPr>
            <w:r w:rsidRPr="00237003">
              <w:rPr>
                <w:rFonts w:eastAsiaTheme="minorEastAsia"/>
              </w:rPr>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FC9" w:rsidRPr="00771838" w:rsidRDefault="00237003" w:rsidP="00771838">
            <w:pPr>
              <w:jc w:val="center"/>
              <w:rPr>
                <w:rFonts w:eastAsiaTheme="minorEastAsia"/>
              </w:rPr>
            </w:pPr>
            <w:r w:rsidRPr="00237003">
              <w:rPr>
                <w:rFonts w:eastAsiaTheme="minorEastAsia"/>
              </w:rPr>
              <w:t>42 045,000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EF2F40">
          <w:pgSz w:w="16838" w:h="11906" w:orient="landscape" w:code="9"/>
          <w:pgMar w:top="568" w:right="1134" w:bottom="567" w:left="1134" w:header="709" w:footer="709" w:gutter="0"/>
          <w:cols w:space="708"/>
          <w:docGrid w:linePitch="360"/>
        </w:sectPr>
      </w:pPr>
    </w:p>
    <w:p w:rsidR="00EA534D" w:rsidRDefault="00EA534D" w:rsidP="00A427A1">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66" w:rsidRDefault="00765C66" w:rsidP="00C16039">
      <w:r>
        <w:separator/>
      </w:r>
    </w:p>
  </w:endnote>
  <w:endnote w:type="continuationSeparator" w:id="0">
    <w:p w:rsidR="00765C66" w:rsidRDefault="00765C6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66" w:rsidRDefault="00765C66" w:rsidP="00C16039">
      <w:r>
        <w:separator/>
      </w:r>
    </w:p>
  </w:footnote>
  <w:footnote w:type="continuationSeparator" w:id="0">
    <w:p w:rsidR="00765C66" w:rsidRDefault="00765C66"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A427A1">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3209"/>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5DF"/>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003"/>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3FD4"/>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6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6A"/>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46B6"/>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73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5FC9"/>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4298"/>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27A1"/>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5CF"/>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32C"/>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4A0"/>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0B6"/>
    <w:rsid w:val="00EE614E"/>
    <w:rsid w:val="00EE62B6"/>
    <w:rsid w:val="00EE6B31"/>
    <w:rsid w:val="00EF1226"/>
    <w:rsid w:val="00EF1282"/>
    <w:rsid w:val="00EF1BA5"/>
    <w:rsid w:val="00EF2A9F"/>
    <w:rsid w:val="00EF2F40"/>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898">
      <w:bodyDiv w:val="1"/>
      <w:marLeft w:val="0"/>
      <w:marRight w:val="0"/>
      <w:marTop w:val="0"/>
      <w:marBottom w:val="0"/>
      <w:divBdr>
        <w:top w:val="none" w:sz="0" w:space="0" w:color="auto"/>
        <w:left w:val="none" w:sz="0" w:space="0" w:color="auto"/>
        <w:bottom w:val="none" w:sz="0" w:space="0" w:color="auto"/>
        <w:right w:val="none" w:sz="0" w:space="0" w:color="auto"/>
      </w:divBdr>
    </w:div>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8F85-B4CB-4747-914F-78F45F88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Вадим Равилевич Вакилов</cp:lastModifiedBy>
  <cp:revision>39</cp:revision>
  <cp:lastPrinted>2024-11-19T04:39:00Z</cp:lastPrinted>
  <dcterms:created xsi:type="dcterms:W3CDTF">2024-01-26T05:16:00Z</dcterms:created>
  <dcterms:modified xsi:type="dcterms:W3CDTF">2024-11-21T04:08:00Z</dcterms:modified>
</cp:coreProperties>
</file>