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4220D" w:rsidRPr="0031588F" w:rsidTr="0031588F">
        <w:trPr>
          <w:cantSplit/>
          <w:trHeight w:val="271"/>
        </w:trPr>
        <w:tc>
          <w:tcPr>
            <w:tcW w:w="2411" w:type="dxa"/>
            <w:hideMark/>
          </w:tcPr>
          <w:p w:rsidR="00F4220D" w:rsidRPr="00D8260F" w:rsidRDefault="00F363C0" w:rsidP="00F4220D">
            <w:pPr>
              <w:autoSpaceDE w:val="0"/>
              <w:autoSpaceDN w:val="0"/>
              <w:adjustRightInd w:val="0"/>
              <w:jc w:val="both"/>
              <w:rPr>
                <w:rFonts w:ascii="Times New Roman" w:hAnsi="Times New Roman"/>
                <w:sz w:val="28"/>
                <w:szCs w:val="28"/>
              </w:rPr>
            </w:pPr>
            <w:r>
              <w:rPr>
                <w:rFonts w:ascii="Times New Roman" w:hAnsi="Times New Roman"/>
                <w:sz w:val="28"/>
                <w:szCs w:val="28"/>
              </w:rPr>
              <w:t>07.04.2025</w:t>
            </w:r>
          </w:p>
        </w:tc>
        <w:tc>
          <w:tcPr>
            <w:tcW w:w="5404" w:type="dxa"/>
            <w:hideMark/>
          </w:tcPr>
          <w:p w:rsidR="00F4220D" w:rsidRPr="00D8260F" w:rsidRDefault="00F4220D" w:rsidP="00F4220D">
            <w:pPr>
              <w:autoSpaceDE w:val="0"/>
              <w:autoSpaceDN w:val="0"/>
              <w:adjustRightInd w:val="0"/>
              <w:jc w:val="both"/>
              <w:rPr>
                <w:rFonts w:ascii="Times New Roman" w:hAnsi="Times New Roman"/>
                <w:sz w:val="28"/>
                <w:szCs w:val="28"/>
              </w:rPr>
            </w:pPr>
          </w:p>
        </w:tc>
        <w:tc>
          <w:tcPr>
            <w:tcW w:w="1800" w:type="dxa"/>
            <w:hideMark/>
          </w:tcPr>
          <w:p w:rsidR="00F4220D" w:rsidRPr="00D8260F" w:rsidRDefault="00F4220D" w:rsidP="00F363C0">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F363C0">
              <w:rPr>
                <w:rFonts w:ascii="Times New Roman" w:hAnsi="Times New Roman"/>
                <w:sz w:val="28"/>
                <w:szCs w:val="28"/>
              </w:rPr>
              <w:t xml:space="preserve">      </w:t>
            </w:r>
            <w:r>
              <w:rPr>
                <w:rFonts w:ascii="Times New Roman" w:hAnsi="Times New Roman"/>
                <w:sz w:val="28"/>
                <w:szCs w:val="28"/>
              </w:rPr>
              <w:t xml:space="preserve"> </w:t>
            </w:r>
            <w:r w:rsidR="000F3B85">
              <w:rPr>
                <w:rFonts w:ascii="Times New Roman" w:hAnsi="Times New Roman"/>
                <w:sz w:val="28"/>
                <w:szCs w:val="28"/>
              </w:rPr>
              <w:t>№</w:t>
            </w:r>
            <w:r w:rsidR="00F363C0">
              <w:rPr>
                <w:rFonts w:ascii="Times New Roman" w:hAnsi="Times New Roman"/>
                <w:sz w:val="28"/>
                <w:szCs w:val="28"/>
              </w:rPr>
              <w:t xml:space="preserve"> 363-п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D20D8F" w:rsidRDefault="00881D1F" w:rsidP="00C231B8">
      <w:pPr>
        <w:spacing w:after="0" w:line="240" w:lineRule="auto"/>
        <w:jc w:val="center"/>
        <w:rPr>
          <w:rFonts w:ascii="Times New Roman" w:hAnsi="Times New Roman" w:cs="Times New Roman"/>
          <w:b/>
          <w:sz w:val="28"/>
          <w:szCs w:val="28"/>
          <w:lang w:eastAsia="ru-RU"/>
        </w:rPr>
      </w:pPr>
      <w:r w:rsidRPr="00D20D8F">
        <w:rPr>
          <w:rFonts w:ascii="Times New Roman" w:hAnsi="Times New Roman" w:cs="Times New Roman"/>
          <w:b/>
          <w:sz w:val="28"/>
          <w:szCs w:val="28"/>
          <w:lang w:eastAsia="ru-RU"/>
        </w:rPr>
        <w:t>О внесении изменени</w:t>
      </w:r>
      <w:r w:rsidR="00AF5971">
        <w:rPr>
          <w:rFonts w:ascii="Times New Roman" w:hAnsi="Times New Roman" w:cs="Times New Roman"/>
          <w:b/>
          <w:sz w:val="28"/>
          <w:szCs w:val="28"/>
          <w:lang w:eastAsia="ru-RU"/>
        </w:rPr>
        <w:t>й</w:t>
      </w:r>
      <w:r w:rsidR="00E03836" w:rsidRPr="00D20D8F">
        <w:rPr>
          <w:rFonts w:ascii="Times New Roman" w:hAnsi="Times New Roman" w:cs="Times New Roman"/>
          <w:b/>
          <w:sz w:val="28"/>
          <w:szCs w:val="28"/>
          <w:lang w:eastAsia="ru-RU"/>
        </w:rPr>
        <w:t xml:space="preserve"> </w:t>
      </w:r>
      <w:r w:rsidRPr="00D20D8F">
        <w:rPr>
          <w:rFonts w:ascii="Times New Roman" w:hAnsi="Times New Roman" w:cs="Times New Roman"/>
          <w:b/>
          <w:sz w:val="28"/>
          <w:szCs w:val="28"/>
          <w:lang w:eastAsia="ru-RU"/>
        </w:rPr>
        <w:t>в постановление администрации города</w:t>
      </w:r>
      <w:r w:rsidR="008B7B00" w:rsidRPr="00D20D8F">
        <w:rPr>
          <w:rFonts w:ascii="Times New Roman" w:hAnsi="Times New Roman" w:cs="Times New Roman"/>
          <w:b/>
          <w:sz w:val="28"/>
          <w:szCs w:val="28"/>
          <w:lang w:eastAsia="ru-RU"/>
        </w:rPr>
        <w:t xml:space="preserve"> Нефтеюганска от 15.11.2018 № 603-п </w:t>
      </w:r>
      <w:r w:rsidR="00414FB8">
        <w:rPr>
          <w:rFonts w:ascii="Times New Roman" w:hAnsi="Times New Roman" w:cs="Times New Roman"/>
          <w:b/>
          <w:sz w:val="28"/>
          <w:szCs w:val="28"/>
          <w:lang w:eastAsia="ru-RU"/>
        </w:rPr>
        <w:t>«</w:t>
      </w:r>
      <w:r w:rsidR="002872E2" w:rsidRPr="00D20D8F">
        <w:rPr>
          <w:rFonts w:ascii="Times New Roman" w:hAnsi="Times New Roman" w:cs="Times New Roman"/>
          <w:b/>
          <w:sz w:val="28"/>
          <w:szCs w:val="28"/>
          <w:lang w:eastAsia="ru-RU"/>
        </w:rPr>
        <w:t>О</w:t>
      </w:r>
      <w:r w:rsidR="00001757" w:rsidRPr="00D20D8F">
        <w:rPr>
          <w:rFonts w:ascii="Times New Roman" w:hAnsi="Times New Roman" w:cs="Times New Roman"/>
          <w:b/>
          <w:sz w:val="28"/>
          <w:szCs w:val="28"/>
          <w:lang w:eastAsia="ru-RU"/>
        </w:rPr>
        <w:t>б утверждении</w:t>
      </w:r>
      <w:r w:rsidR="002872E2" w:rsidRPr="00D20D8F">
        <w:rPr>
          <w:rFonts w:ascii="Times New Roman" w:hAnsi="Times New Roman" w:cs="Times New Roman"/>
          <w:b/>
          <w:sz w:val="28"/>
          <w:szCs w:val="28"/>
          <w:lang w:eastAsia="ru-RU"/>
        </w:rPr>
        <w:t xml:space="preserve"> муниципальной программ</w:t>
      </w:r>
      <w:r w:rsidR="00001757" w:rsidRPr="00D20D8F">
        <w:rPr>
          <w:rFonts w:ascii="Times New Roman" w:hAnsi="Times New Roman" w:cs="Times New Roman"/>
          <w:b/>
          <w:sz w:val="28"/>
          <w:szCs w:val="28"/>
          <w:lang w:eastAsia="ru-RU"/>
        </w:rPr>
        <w:t>ы</w:t>
      </w:r>
      <w:r w:rsidR="00402B98" w:rsidRPr="00D20D8F">
        <w:rPr>
          <w:rFonts w:ascii="Times New Roman" w:hAnsi="Times New Roman" w:cs="Times New Roman"/>
          <w:b/>
          <w:sz w:val="28"/>
          <w:szCs w:val="28"/>
          <w:lang w:eastAsia="ru-RU"/>
        </w:rPr>
        <w:t xml:space="preserve"> города </w:t>
      </w:r>
      <w:r w:rsidR="008B7B00" w:rsidRPr="00D20D8F">
        <w:rPr>
          <w:rFonts w:ascii="Times New Roman" w:hAnsi="Times New Roman" w:cs="Times New Roman"/>
          <w:b/>
          <w:sz w:val="28"/>
          <w:szCs w:val="28"/>
          <w:lang w:eastAsia="ru-RU"/>
        </w:rPr>
        <w:t>Н</w:t>
      </w:r>
      <w:r w:rsidR="00402B98" w:rsidRPr="00D20D8F">
        <w:rPr>
          <w:rFonts w:ascii="Times New Roman" w:hAnsi="Times New Roman" w:cs="Times New Roman"/>
          <w:b/>
          <w:sz w:val="28"/>
          <w:szCs w:val="28"/>
          <w:lang w:eastAsia="ru-RU"/>
        </w:rPr>
        <w:t>ефтеюганска</w:t>
      </w:r>
      <w:r w:rsidR="008B7B00" w:rsidRPr="00D20D8F">
        <w:rPr>
          <w:rFonts w:ascii="Times New Roman" w:hAnsi="Times New Roman" w:cs="Times New Roman"/>
          <w:b/>
          <w:sz w:val="28"/>
          <w:szCs w:val="28"/>
          <w:lang w:eastAsia="ru-RU"/>
        </w:rPr>
        <w:t xml:space="preserve"> </w:t>
      </w:r>
      <w:r w:rsidR="00414FB8">
        <w:rPr>
          <w:rFonts w:ascii="Times New Roman" w:hAnsi="Times New Roman" w:cs="Times New Roman"/>
          <w:b/>
          <w:sz w:val="28"/>
          <w:szCs w:val="28"/>
          <w:lang w:eastAsia="ru-RU"/>
        </w:rPr>
        <w:t>«</w:t>
      </w:r>
      <w:r w:rsidR="00550E36" w:rsidRPr="00D20D8F">
        <w:rPr>
          <w:rFonts w:ascii="Times New Roman" w:hAnsi="Times New Roman" w:cs="Times New Roman"/>
          <w:b/>
          <w:sz w:val="28"/>
          <w:szCs w:val="28"/>
          <w:lang w:eastAsia="ru-RU"/>
        </w:rPr>
        <w:t>Социально-экономическое развитие города Нефтеюганска</w:t>
      </w:r>
      <w:r w:rsidR="00414FB8">
        <w:rPr>
          <w:rFonts w:ascii="Times New Roman" w:hAnsi="Times New Roman" w:cs="Times New Roman"/>
          <w:b/>
          <w:sz w:val="28"/>
          <w:szCs w:val="28"/>
          <w:lang w:eastAsia="ru-RU"/>
        </w:rPr>
        <w:t>»</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4F7DC7" w:rsidRPr="005E61ED" w:rsidRDefault="004F7DC7" w:rsidP="004F7DC7">
      <w:pPr>
        <w:spacing w:after="0" w:line="240" w:lineRule="auto"/>
        <w:ind w:firstLine="709"/>
        <w:jc w:val="both"/>
        <w:rPr>
          <w:rFonts w:ascii="Times New Roman" w:hAnsi="Times New Roman" w:cs="Times New Roman"/>
          <w:sz w:val="28"/>
          <w:szCs w:val="28"/>
        </w:rPr>
      </w:pPr>
      <w:r w:rsidRPr="005E61ED">
        <w:rPr>
          <w:rFonts w:ascii="Times New Roman" w:hAnsi="Times New Roman"/>
          <w:sz w:val="28"/>
          <w:szCs w:val="28"/>
        </w:rPr>
        <w:t xml:space="preserve">В соответствии </w:t>
      </w:r>
      <w:r w:rsidRPr="005E61ED">
        <w:rPr>
          <w:rFonts w:ascii="Times New Roman" w:hAnsi="Times New Roman" w:cs="Times New Roman"/>
          <w:sz w:val="28"/>
          <w:szCs w:val="28"/>
        </w:rPr>
        <w:t xml:space="preserve">с постановлением администрации города Нефтеюганска от 18.04.2019 № 77-нп </w:t>
      </w:r>
      <w:r w:rsidR="00414FB8">
        <w:rPr>
          <w:rFonts w:ascii="Times New Roman" w:hAnsi="Times New Roman" w:cs="Times New Roman"/>
          <w:sz w:val="28"/>
          <w:szCs w:val="28"/>
        </w:rPr>
        <w:t>«</w:t>
      </w:r>
      <w:r w:rsidRPr="005E61ED">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4FB8">
        <w:rPr>
          <w:rFonts w:ascii="Times New Roman" w:hAnsi="Times New Roman" w:cs="Times New Roman"/>
          <w:sz w:val="28"/>
          <w:szCs w:val="28"/>
        </w:rPr>
        <w:t>»</w:t>
      </w:r>
      <w:r w:rsidRPr="005E61ED">
        <w:rPr>
          <w:rFonts w:ascii="Times New Roman" w:hAnsi="Times New Roman" w:cs="Times New Roman"/>
          <w:sz w:val="28"/>
          <w:szCs w:val="28"/>
        </w:rPr>
        <w:t xml:space="preserve">, распоряжением администрации города Нефтеюганска от 24.10.2023 № 403-р </w:t>
      </w:r>
      <w:r w:rsidR="00414FB8">
        <w:rPr>
          <w:rFonts w:ascii="Times New Roman" w:hAnsi="Times New Roman" w:cs="Times New Roman"/>
          <w:sz w:val="28"/>
          <w:szCs w:val="28"/>
        </w:rPr>
        <w:t>«</w:t>
      </w:r>
      <w:r w:rsidRPr="005E61ED">
        <w:rPr>
          <w:rFonts w:ascii="Times New Roman" w:hAnsi="Times New Roman" w:cs="Times New Roman"/>
          <w:sz w:val="28"/>
          <w:szCs w:val="28"/>
        </w:rPr>
        <w:t xml:space="preserve">О мерах по реализации постановления администрации города Нефтеюганска от 18.04.2019 № 77-нп </w:t>
      </w:r>
      <w:r w:rsidR="00414FB8">
        <w:rPr>
          <w:rFonts w:ascii="Times New Roman" w:hAnsi="Times New Roman" w:cs="Times New Roman"/>
          <w:sz w:val="28"/>
          <w:szCs w:val="28"/>
        </w:rPr>
        <w:t>«</w:t>
      </w:r>
      <w:r w:rsidRPr="005E61ED">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4FB8">
        <w:rPr>
          <w:rFonts w:ascii="Times New Roman" w:hAnsi="Times New Roman" w:cs="Times New Roman"/>
          <w:sz w:val="28"/>
          <w:szCs w:val="28"/>
        </w:rPr>
        <w:t>»</w:t>
      </w:r>
      <w:r w:rsidRPr="005E61ED">
        <w:rPr>
          <w:rFonts w:ascii="Times New Roman" w:hAnsi="Times New Roman" w:cs="Times New Roman"/>
          <w:sz w:val="28"/>
          <w:szCs w:val="28"/>
        </w:rPr>
        <w:t>, в связи с уточнением объемов бюджетных ассигнований, изменением лимитов бюджетных обязательств на 2024 год и плановый период 2025 и 2026 годов администрация города Нефтеюганска постановляет:</w:t>
      </w:r>
    </w:p>
    <w:p w:rsidR="005B4906" w:rsidRPr="002F2E89" w:rsidRDefault="004F7DC7" w:rsidP="005B4906">
      <w:pPr>
        <w:spacing w:after="0" w:line="240" w:lineRule="auto"/>
        <w:ind w:firstLine="709"/>
        <w:jc w:val="both"/>
        <w:rPr>
          <w:rFonts w:ascii="Times New Roman" w:hAnsi="Times New Roman" w:cs="Times New Roman"/>
          <w:sz w:val="28"/>
          <w:szCs w:val="28"/>
        </w:rPr>
      </w:pPr>
      <w:r w:rsidRPr="005E61ED">
        <w:rPr>
          <w:rFonts w:ascii="Times New Roman" w:hAnsi="Times New Roman" w:cs="Times New Roman"/>
          <w:sz w:val="28"/>
          <w:szCs w:val="28"/>
        </w:rPr>
        <w:t xml:space="preserve">1.Внести в постановление администрации города Нефтеюганска </w:t>
      </w:r>
      <w:r w:rsidR="009D7D64">
        <w:rPr>
          <w:rFonts w:ascii="Times New Roman" w:hAnsi="Times New Roman" w:cs="Times New Roman"/>
          <w:sz w:val="28"/>
          <w:szCs w:val="28"/>
        </w:rPr>
        <w:t xml:space="preserve">                           </w:t>
      </w:r>
      <w:r w:rsidRPr="005E61ED">
        <w:rPr>
          <w:rFonts w:ascii="Times New Roman" w:hAnsi="Times New Roman" w:cs="Times New Roman"/>
          <w:sz w:val="28"/>
          <w:szCs w:val="28"/>
        </w:rPr>
        <w:t xml:space="preserve">от 15.11.2018 № 603-п </w:t>
      </w:r>
      <w:r w:rsidR="00414FB8">
        <w:rPr>
          <w:rFonts w:ascii="Times New Roman" w:hAnsi="Times New Roman" w:cs="Times New Roman"/>
          <w:sz w:val="28"/>
          <w:szCs w:val="28"/>
        </w:rPr>
        <w:t>«</w:t>
      </w:r>
      <w:r w:rsidRPr="005E61ED">
        <w:rPr>
          <w:rFonts w:ascii="Times New Roman" w:hAnsi="Times New Roman" w:cs="Times New Roman"/>
          <w:sz w:val="28"/>
          <w:szCs w:val="28"/>
        </w:rPr>
        <w:t xml:space="preserve">Об утверждении муниципальной программы города Нефтеюганска </w:t>
      </w:r>
      <w:r w:rsidR="00414FB8">
        <w:rPr>
          <w:rFonts w:ascii="Times New Roman" w:hAnsi="Times New Roman" w:cs="Times New Roman"/>
          <w:sz w:val="28"/>
          <w:szCs w:val="28"/>
        </w:rPr>
        <w:t>«</w:t>
      </w:r>
      <w:r w:rsidRPr="005E61ED">
        <w:rPr>
          <w:rFonts w:ascii="Times New Roman" w:hAnsi="Times New Roman" w:cs="Times New Roman"/>
          <w:sz w:val="28"/>
          <w:szCs w:val="28"/>
        </w:rPr>
        <w:t>Социально-экономическое развитие города Нефтеюганска</w:t>
      </w:r>
      <w:r w:rsidR="00414FB8">
        <w:rPr>
          <w:rFonts w:ascii="Times New Roman" w:hAnsi="Times New Roman" w:cs="Times New Roman"/>
          <w:sz w:val="28"/>
          <w:szCs w:val="28"/>
        </w:rPr>
        <w:t>»</w:t>
      </w:r>
      <w:r w:rsidRPr="005E61ED">
        <w:t xml:space="preserve"> </w:t>
      </w:r>
      <w:r w:rsidR="009D7D64">
        <w:t xml:space="preserve">                    </w:t>
      </w:r>
      <w:r w:rsidRPr="005E61ED">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w:t>
      </w:r>
      <w:r w:rsidR="00A909F5" w:rsidRPr="005E61ED">
        <w:rPr>
          <w:rFonts w:ascii="Times New Roman" w:hAnsi="Times New Roman" w:cs="Times New Roman"/>
          <w:sz w:val="28"/>
          <w:szCs w:val="28"/>
        </w:rPr>
        <w:t xml:space="preserve">            </w:t>
      </w:r>
      <w:r w:rsidRPr="005E61ED">
        <w:rPr>
          <w:rFonts w:ascii="Times New Roman" w:hAnsi="Times New Roman" w:cs="Times New Roman"/>
          <w:sz w:val="28"/>
          <w:szCs w:val="28"/>
        </w:rPr>
        <w:t xml:space="preserve">№ 177-п, от 15.05.2019 № 246-п, от 12.08.2019 № 737-п, от 11.10.2019 № 1091-п, от 12.11.2019 № </w:t>
      </w:r>
      <w:r w:rsidR="00A909F5" w:rsidRPr="005E61ED">
        <w:rPr>
          <w:rFonts w:ascii="Times New Roman" w:hAnsi="Times New Roman" w:cs="Times New Roman"/>
          <w:sz w:val="28"/>
          <w:szCs w:val="28"/>
        </w:rPr>
        <w:t xml:space="preserve">1257-п, от 17.12.2019 № 1421-п, </w:t>
      </w:r>
      <w:r w:rsidRPr="005E61ED">
        <w:rPr>
          <w:rFonts w:ascii="Times New Roman" w:hAnsi="Times New Roman" w:cs="Times New Roman"/>
          <w:sz w:val="28"/>
          <w:szCs w:val="28"/>
        </w:rPr>
        <w:t xml:space="preserve">от 24.12.2019 № 1471-п, от 06.02.2020 № </w:t>
      </w:r>
      <w:r w:rsidRPr="002F2E89">
        <w:rPr>
          <w:rFonts w:ascii="Times New Roman" w:hAnsi="Times New Roman" w:cs="Times New Roman"/>
          <w:sz w:val="28"/>
          <w:szCs w:val="28"/>
        </w:rPr>
        <w:t>133-п, о</w:t>
      </w:r>
      <w:r w:rsidR="00A909F5" w:rsidRPr="002F2E89">
        <w:rPr>
          <w:rFonts w:ascii="Times New Roman" w:hAnsi="Times New Roman" w:cs="Times New Roman"/>
          <w:sz w:val="28"/>
          <w:szCs w:val="28"/>
        </w:rPr>
        <w:t xml:space="preserve">т 11.03.2020 № 381-п, </w:t>
      </w:r>
      <w:r w:rsidRPr="002F2E89">
        <w:rPr>
          <w:rFonts w:ascii="Times New Roman" w:hAnsi="Times New Roman" w:cs="Times New Roman"/>
          <w:sz w:val="28"/>
          <w:szCs w:val="28"/>
        </w:rPr>
        <w:t xml:space="preserve">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w:t>
      </w:r>
      <w:r w:rsidRPr="002F2E89">
        <w:rPr>
          <w:rFonts w:ascii="Times New Roman" w:hAnsi="Times New Roman" w:cs="Times New Roman"/>
          <w:sz w:val="28"/>
          <w:szCs w:val="28"/>
        </w:rPr>
        <w:lastRenderedPageBreak/>
        <w:t xml:space="preserve">06.12.2022 № 2514-п, от 28.12.2022 № 2734-п, от 07.03.2023 № 238-п, от 17.04.2023 № 447-п, от 29.05.2023 № 655-п, от 18.08.2023 № 1038-п, от </w:t>
      </w:r>
      <w:r w:rsidR="0068107A" w:rsidRPr="002F2E89">
        <w:rPr>
          <w:rFonts w:ascii="Times New Roman" w:hAnsi="Times New Roman" w:cs="Times New Roman"/>
          <w:sz w:val="28"/>
          <w:szCs w:val="28"/>
        </w:rPr>
        <w:t>01.11.2023 № 1430-п</w:t>
      </w:r>
      <w:r w:rsidR="005B4906" w:rsidRPr="002F2E89">
        <w:rPr>
          <w:rFonts w:ascii="Times New Roman" w:hAnsi="Times New Roman" w:cs="Times New Roman"/>
          <w:sz w:val="28"/>
          <w:szCs w:val="28"/>
        </w:rPr>
        <w:t>, от 04.12.2023 № 1635-п</w:t>
      </w:r>
      <w:r w:rsidR="006E44EA" w:rsidRPr="002F2E89">
        <w:rPr>
          <w:rFonts w:ascii="Times New Roman" w:hAnsi="Times New Roman" w:cs="Times New Roman"/>
          <w:sz w:val="28"/>
          <w:szCs w:val="28"/>
        </w:rPr>
        <w:t>, от 13.02.2024 № 267-п</w:t>
      </w:r>
      <w:r w:rsidR="00A173E6" w:rsidRPr="002F2E89">
        <w:rPr>
          <w:rFonts w:ascii="Times New Roman" w:hAnsi="Times New Roman" w:cs="Times New Roman"/>
          <w:sz w:val="28"/>
          <w:szCs w:val="28"/>
        </w:rPr>
        <w:t>, от 18.04.2024 № 753-п</w:t>
      </w:r>
      <w:r w:rsidR="00FB6E7F" w:rsidRPr="002F2E89">
        <w:rPr>
          <w:rFonts w:ascii="Times New Roman" w:hAnsi="Times New Roman" w:cs="Times New Roman"/>
          <w:sz w:val="28"/>
          <w:szCs w:val="28"/>
        </w:rPr>
        <w:t>, от 17.06.2024 № 1157-п</w:t>
      </w:r>
      <w:r w:rsidR="004662B7" w:rsidRPr="002F2E89">
        <w:rPr>
          <w:rFonts w:ascii="Times New Roman" w:hAnsi="Times New Roman" w:cs="Times New Roman"/>
          <w:sz w:val="28"/>
          <w:szCs w:val="28"/>
        </w:rPr>
        <w:t>, от 10.07.2024 № 1311-п</w:t>
      </w:r>
      <w:r w:rsidR="00BE47DA" w:rsidRPr="002F2E89">
        <w:rPr>
          <w:rFonts w:ascii="Times New Roman" w:hAnsi="Times New Roman" w:cs="Times New Roman"/>
          <w:sz w:val="28"/>
          <w:szCs w:val="28"/>
        </w:rPr>
        <w:t>, от 02.10.2024 № 1694-п</w:t>
      </w:r>
      <w:r w:rsidR="00AF5971" w:rsidRPr="002F2E89">
        <w:rPr>
          <w:rFonts w:ascii="Times New Roman" w:hAnsi="Times New Roman" w:cs="Times New Roman"/>
          <w:sz w:val="28"/>
          <w:szCs w:val="28"/>
        </w:rPr>
        <w:t>, от 21.11.2024 № 1926-п</w:t>
      </w:r>
      <w:r w:rsidR="00EB5DF4" w:rsidRPr="002F2E89">
        <w:rPr>
          <w:rFonts w:ascii="Times New Roman" w:hAnsi="Times New Roman" w:cs="Times New Roman"/>
          <w:sz w:val="28"/>
          <w:szCs w:val="28"/>
        </w:rPr>
        <w:t>, от 13.12.2024 № 2055-п</w:t>
      </w:r>
      <w:r w:rsidR="00016494" w:rsidRPr="002F2E89">
        <w:rPr>
          <w:rFonts w:ascii="Times New Roman" w:hAnsi="Times New Roman" w:cs="Times New Roman"/>
          <w:sz w:val="28"/>
          <w:szCs w:val="28"/>
        </w:rPr>
        <w:t>, от 23.12.2024 № 2100-п, от 23.12.2024 № 2111-п</w:t>
      </w:r>
      <w:r w:rsidR="00EA7FC5" w:rsidRPr="002F2E89">
        <w:rPr>
          <w:rFonts w:ascii="Times New Roman" w:hAnsi="Times New Roman" w:cs="Times New Roman"/>
          <w:sz w:val="28"/>
          <w:szCs w:val="28"/>
        </w:rPr>
        <w:t>, от 19.02.2025 № 176-п</w:t>
      </w:r>
      <w:r w:rsidRPr="002F2E89">
        <w:rPr>
          <w:rFonts w:ascii="Times New Roman" w:hAnsi="Times New Roman" w:cs="Times New Roman"/>
          <w:sz w:val="28"/>
          <w:szCs w:val="28"/>
        </w:rPr>
        <w:t xml:space="preserve">), </w:t>
      </w:r>
      <w:r w:rsidR="005B4906" w:rsidRPr="002F2E89">
        <w:rPr>
          <w:rFonts w:ascii="Times New Roman" w:hAnsi="Times New Roman" w:cs="Times New Roman"/>
          <w:sz w:val="28"/>
          <w:szCs w:val="28"/>
        </w:rPr>
        <w:t>следующ</w:t>
      </w:r>
      <w:r w:rsidR="00AF5971" w:rsidRPr="002F2E89">
        <w:rPr>
          <w:rFonts w:ascii="Times New Roman" w:hAnsi="Times New Roman" w:cs="Times New Roman"/>
          <w:sz w:val="28"/>
          <w:szCs w:val="28"/>
        </w:rPr>
        <w:t>и</w:t>
      </w:r>
      <w:r w:rsidR="005B4906" w:rsidRPr="002F2E89">
        <w:rPr>
          <w:rFonts w:ascii="Times New Roman" w:hAnsi="Times New Roman" w:cs="Times New Roman"/>
          <w:sz w:val="28"/>
          <w:szCs w:val="28"/>
        </w:rPr>
        <w:t>е изменени</w:t>
      </w:r>
      <w:r w:rsidR="00AF5971" w:rsidRPr="002F2E89">
        <w:rPr>
          <w:rFonts w:ascii="Times New Roman" w:hAnsi="Times New Roman" w:cs="Times New Roman"/>
          <w:sz w:val="28"/>
          <w:szCs w:val="28"/>
        </w:rPr>
        <w:t>я</w:t>
      </w:r>
      <w:r w:rsidR="005B4906" w:rsidRPr="002F2E89">
        <w:rPr>
          <w:rFonts w:ascii="Times New Roman" w:hAnsi="Times New Roman" w:cs="Times New Roman"/>
          <w:sz w:val="28"/>
          <w:szCs w:val="28"/>
        </w:rPr>
        <w:t>, а именно: в приложении к постановлению:</w:t>
      </w:r>
    </w:p>
    <w:p w:rsidR="00F365CC" w:rsidRPr="002F2E89" w:rsidRDefault="00F365CC" w:rsidP="005B4906">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1.1.Таблицу 1</w:t>
      </w:r>
      <w:r w:rsidR="00632A64" w:rsidRPr="002F2E89">
        <w:rPr>
          <w:rFonts w:ascii="Times New Roman" w:hAnsi="Times New Roman" w:cs="Times New Roman"/>
          <w:sz w:val="28"/>
          <w:szCs w:val="28"/>
        </w:rPr>
        <w:t xml:space="preserve"> </w:t>
      </w:r>
      <w:r w:rsidR="00414FB8">
        <w:rPr>
          <w:rFonts w:ascii="Times New Roman" w:hAnsi="Times New Roman" w:cs="Times New Roman"/>
          <w:sz w:val="28"/>
          <w:szCs w:val="28"/>
        </w:rPr>
        <w:t>«</w:t>
      </w:r>
      <w:r w:rsidR="00632A64" w:rsidRPr="002F2E89">
        <w:rPr>
          <w:rFonts w:ascii="Times New Roman" w:hAnsi="Times New Roman" w:cs="Times New Roman"/>
          <w:sz w:val="28"/>
          <w:szCs w:val="28"/>
        </w:rPr>
        <w:t>Реестр документов, входящих в состав муниципальной программы</w:t>
      </w:r>
      <w:r w:rsidR="00414FB8">
        <w:rPr>
          <w:rFonts w:ascii="Times New Roman" w:hAnsi="Times New Roman" w:cs="Times New Roman"/>
          <w:sz w:val="28"/>
          <w:szCs w:val="28"/>
        </w:rPr>
        <w:t>»</w:t>
      </w:r>
      <w:r w:rsidRPr="002F2E89">
        <w:rPr>
          <w:rFonts w:ascii="Times New Roman" w:hAnsi="Times New Roman" w:cs="Times New Roman"/>
          <w:sz w:val="28"/>
          <w:szCs w:val="28"/>
        </w:rPr>
        <w:t xml:space="preserve"> изложить в следующей редакции:</w:t>
      </w:r>
    </w:p>
    <w:p w:rsidR="00F365CC" w:rsidRPr="002F2E89" w:rsidRDefault="00414FB8" w:rsidP="00F365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594"/>
        <w:gridCol w:w="1559"/>
        <w:gridCol w:w="2268"/>
        <w:gridCol w:w="1134"/>
        <w:gridCol w:w="1418"/>
        <w:gridCol w:w="1275"/>
      </w:tblGrid>
      <w:tr w:rsidR="00F365CC" w:rsidRPr="002F2E89" w:rsidTr="00632A64">
        <w:tc>
          <w:tcPr>
            <w:tcW w:w="533" w:type="dxa"/>
            <w:tcBorders>
              <w:top w:val="single" w:sz="4" w:space="0" w:color="auto"/>
              <w:bottom w:val="single" w:sz="4" w:space="0" w:color="auto"/>
              <w:right w:val="single" w:sz="4" w:space="0" w:color="auto"/>
            </w:tcBorders>
          </w:tcPr>
          <w:p w:rsidR="00F365CC" w:rsidRPr="002F2E89" w:rsidRDefault="00F365CC" w:rsidP="00F365CC">
            <w:pPr>
              <w:spacing w:after="0" w:line="240" w:lineRule="auto"/>
              <w:jc w:val="both"/>
              <w:rPr>
                <w:rFonts w:ascii="Times New Roman" w:hAnsi="Times New Roman" w:cs="Times New Roman"/>
                <w:sz w:val="20"/>
                <w:szCs w:val="20"/>
              </w:rPr>
            </w:pPr>
            <w:r w:rsidRPr="002F2E89">
              <w:rPr>
                <w:rFonts w:ascii="Times New Roman" w:hAnsi="Times New Roman" w:cs="Times New Roman"/>
                <w:sz w:val="20"/>
                <w:szCs w:val="20"/>
              </w:rPr>
              <w:t>N</w:t>
            </w:r>
            <w:r w:rsidRPr="002F2E89">
              <w:rPr>
                <w:rFonts w:ascii="Times New Roman" w:hAnsi="Times New Roman" w:cs="Times New Roman"/>
                <w:sz w:val="20"/>
                <w:szCs w:val="20"/>
              </w:rPr>
              <w:br/>
              <w:t>п/п</w:t>
            </w:r>
          </w:p>
        </w:tc>
        <w:tc>
          <w:tcPr>
            <w:tcW w:w="1594"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Тип документа</w:t>
            </w:r>
          </w:p>
        </w:tc>
        <w:tc>
          <w:tcPr>
            <w:tcW w:w="1559"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Реквизиты</w:t>
            </w:r>
          </w:p>
        </w:tc>
        <w:tc>
          <w:tcPr>
            <w:tcW w:w="1418"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Разработчик</w:t>
            </w:r>
          </w:p>
        </w:tc>
        <w:tc>
          <w:tcPr>
            <w:tcW w:w="1275" w:type="dxa"/>
            <w:tcBorders>
              <w:top w:val="single" w:sz="4" w:space="0" w:color="auto"/>
              <w:left w:val="single" w:sz="4" w:space="0" w:color="auto"/>
              <w:bottom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Гиперссылка на текст документа</w:t>
            </w:r>
          </w:p>
        </w:tc>
      </w:tr>
      <w:tr w:rsidR="00F365CC" w:rsidRPr="002F2E89" w:rsidTr="00632A64">
        <w:tc>
          <w:tcPr>
            <w:tcW w:w="533" w:type="dxa"/>
            <w:tcBorders>
              <w:top w:val="single" w:sz="4" w:space="0" w:color="auto"/>
              <w:bottom w:val="single" w:sz="4" w:space="0" w:color="auto"/>
              <w:right w:val="single" w:sz="4" w:space="0" w:color="auto"/>
            </w:tcBorders>
          </w:tcPr>
          <w:p w:rsidR="00F365CC" w:rsidRPr="002F2E89" w:rsidRDefault="00F365CC" w:rsidP="00632A64">
            <w:pPr>
              <w:spacing w:after="0" w:line="240" w:lineRule="auto"/>
              <w:jc w:val="center"/>
              <w:rPr>
                <w:rFonts w:ascii="Times New Roman" w:hAnsi="Times New Roman" w:cs="Times New Roman"/>
                <w:sz w:val="20"/>
                <w:szCs w:val="20"/>
              </w:rPr>
            </w:pPr>
            <w:r w:rsidRPr="002F2E89">
              <w:rPr>
                <w:rFonts w:ascii="Times New Roman" w:hAnsi="Times New Roman" w:cs="Times New Roman"/>
                <w:sz w:val="20"/>
                <w:szCs w:val="20"/>
              </w:rPr>
              <w:t>1</w:t>
            </w:r>
          </w:p>
        </w:tc>
        <w:tc>
          <w:tcPr>
            <w:tcW w:w="1594" w:type="dxa"/>
            <w:tcBorders>
              <w:top w:val="single" w:sz="4" w:space="0" w:color="auto"/>
              <w:left w:val="single" w:sz="4" w:space="0" w:color="auto"/>
              <w:bottom w:val="single" w:sz="4" w:space="0" w:color="auto"/>
              <w:right w:val="single" w:sz="4" w:space="0" w:color="auto"/>
            </w:tcBorders>
          </w:tcPr>
          <w:p w:rsidR="00F365CC" w:rsidRPr="002F2E89" w:rsidRDefault="00F365CC" w:rsidP="00632A64">
            <w:pPr>
              <w:spacing w:after="0" w:line="240" w:lineRule="auto"/>
              <w:jc w:val="center"/>
              <w:rPr>
                <w:rFonts w:ascii="Times New Roman" w:hAnsi="Times New Roman" w:cs="Times New Roman"/>
                <w:sz w:val="20"/>
                <w:szCs w:val="20"/>
              </w:rPr>
            </w:pPr>
            <w:r w:rsidRPr="002F2E89">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F365CC" w:rsidRPr="002F2E89" w:rsidRDefault="00F365CC" w:rsidP="00632A64">
            <w:pPr>
              <w:spacing w:after="0" w:line="240" w:lineRule="auto"/>
              <w:jc w:val="center"/>
              <w:rPr>
                <w:rFonts w:ascii="Times New Roman" w:hAnsi="Times New Roman" w:cs="Times New Roman"/>
                <w:sz w:val="20"/>
                <w:szCs w:val="20"/>
              </w:rPr>
            </w:pPr>
            <w:r w:rsidRPr="002F2E89">
              <w:rPr>
                <w:rFonts w:ascii="Times New Roman" w:hAnsi="Times New Roman" w:cs="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F365CC" w:rsidRPr="002F2E89" w:rsidRDefault="00F365CC" w:rsidP="00632A64">
            <w:pPr>
              <w:spacing w:after="0" w:line="240" w:lineRule="auto"/>
              <w:jc w:val="center"/>
              <w:rPr>
                <w:rFonts w:ascii="Times New Roman" w:hAnsi="Times New Roman" w:cs="Times New Roman"/>
                <w:sz w:val="20"/>
                <w:szCs w:val="20"/>
              </w:rPr>
            </w:pPr>
            <w:r w:rsidRPr="002F2E89">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F365CC" w:rsidRPr="002F2E89" w:rsidRDefault="00F365CC" w:rsidP="00632A64">
            <w:pPr>
              <w:spacing w:after="0" w:line="240" w:lineRule="auto"/>
              <w:jc w:val="center"/>
              <w:rPr>
                <w:rFonts w:ascii="Times New Roman" w:hAnsi="Times New Roman" w:cs="Times New Roman"/>
                <w:sz w:val="20"/>
                <w:szCs w:val="20"/>
              </w:rPr>
            </w:pPr>
            <w:r w:rsidRPr="002F2E89">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F365CC" w:rsidRPr="002F2E89" w:rsidRDefault="00F365CC" w:rsidP="00632A64">
            <w:pPr>
              <w:spacing w:after="0" w:line="240" w:lineRule="auto"/>
              <w:jc w:val="center"/>
              <w:rPr>
                <w:rFonts w:ascii="Times New Roman" w:hAnsi="Times New Roman" w:cs="Times New Roman"/>
                <w:sz w:val="20"/>
                <w:szCs w:val="20"/>
              </w:rPr>
            </w:pPr>
            <w:r w:rsidRPr="002F2E89">
              <w:rPr>
                <w:rFonts w:ascii="Times New Roman" w:hAnsi="Times New Roman" w:cs="Times New Roman"/>
                <w:sz w:val="20"/>
                <w:szCs w:val="20"/>
              </w:rPr>
              <w:t>6</w:t>
            </w:r>
          </w:p>
        </w:tc>
        <w:tc>
          <w:tcPr>
            <w:tcW w:w="1275" w:type="dxa"/>
            <w:tcBorders>
              <w:top w:val="single" w:sz="4" w:space="0" w:color="auto"/>
              <w:left w:val="single" w:sz="4" w:space="0" w:color="auto"/>
              <w:bottom w:val="single" w:sz="4" w:space="0" w:color="auto"/>
            </w:tcBorders>
          </w:tcPr>
          <w:p w:rsidR="00F365CC" w:rsidRPr="002F2E89" w:rsidRDefault="00F365CC" w:rsidP="00632A64">
            <w:pPr>
              <w:spacing w:after="0" w:line="240" w:lineRule="auto"/>
              <w:jc w:val="center"/>
              <w:rPr>
                <w:rFonts w:ascii="Times New Roman" w:hAnsi="Times New Roman" w:cs="Times New Roman"/>
                <w:sz w:val="20"/>
                <w:szCs w:val="20"/>
              </w:rPr>
            </w:pPr>
            <w:r w:rsidRPr="002F2E89">
              <w:rPr>
                <w:rFonts w:ascii="Times New Roman" w:hAnsi="Times New Roman" w:cs="Times New Roman"/>
                <w:sz w:val="20"/>
                <w:szCs w:val="20"/>
              </w:rPr>
              <w:t>7</w:t>
            </w:r>
          </w:p>
        </w:tc>
      </w:tr>
      <w:tr w:rsidR="00F365CC" w:rsidRPr="002F2E89" w:rsidTr="00632A64">
        <w:tc>
          <w:tcPr>
            <w:tcW w:w="9781" w:type="dxa"/>
            <w:gridSpan w:val="7"/>
            <w:tcBorders>
              <w:top w:val="single" w:sz="4" w:space="0" w:color="auto"/>
              <w:bottom w:val="single" w:sz="4" w:space="0" w:color="auto"/>
            </w:tcBorders>
          </w:tcPr>
          <w:p w:rsidR="00F365CC" w:rsidRPr="002F2E89" w:rsidRDefault="00F365CC" w:rsidP="00F365CC">
            <w:pPr>
              <w:spacing w:after="0" w:line="240" w:lineRule="auto"/>
              <w:jc w:val="both"/>
              <w:rPr>
                <w:rFonts w:ascii="Times New Roman" w:hAnsi="Times New Roman" w:cs="Times New Roman"/>
                <w:sz w:val="20"/>
                <w:szCs w:val="20"/>
              </w:rPr>
            </w:pPr>
            <w:r w:rsidRPr="002F2E89">
              <w:rPr>
                <w:rFonts w:ascii="Times New Roman" w:hAnsi="Times New Roman" w:cs="Times New Roman"/>
                <w:sz w:val="20"/>
                <w:szCs w:val="20"/>
              </w:rPr>
              <w:t xml:space="preserve">Муниципальная программа </w:t>
            </w:r>
            <w:r w:rsidR="00414FB8">
              <w:rPr>
                <w:rFonts w:ascii="Times New Roman" w:hAnsi="Times New Roman" w:cs="Times New Roman"/>
                <w:sz w:val="20"/>
                <w:szCs w:val="20"/>
              </w:rPr>
              <w:t>«</w:t>
            </w:r>
            <w:r w:rsidRPr="002F2E89">
              <w:rPr>
                <w:rFonts w:ascii="Times New Roman" w:hAnsi="Times New Roman" w:cs="Times New Roman"/>
                <w:sz w:val="20"/>
                <w:szCs w:val="20"/>
              </w:rPr>
              <w:t>Социально-экономическое развитие города Нефтеюганска</w:t>
            </w:r>
            <w:r w:rsidR="00414FB8">
              <w:rPr>
                <w:rFonts w:ascii="Times New Roman" w:hAnsi="Times New Roman" w:cs="Times New Roman"/>
                <w:sz w:val="20"/>
                <w:szCs w:val="20"/>
              </w:rPr>
              <w:t>»</w:t>
            </w:r>
          </w:p>
        </w:tc>
      </w:tr>
      <w:tr w:rsidR="00F365CC" w:rsidRPr="002F2E89" w:rsidTr="00632A64">
        <w:tc>
          <w:tcPr>
            <w:tcW w:w="533" w:type="dxa"/>
            <w:tcBorders>
              <w:top w:val="single" w:sz="4" w:space="0" w:color="auto"/>
              <w:bottom w:val="single" w:sz="4" w:space="0" w:color="auto"/>
              <w:right w:val="single" w:sz="4" w:space="0" w:color="auto"/>
            </w:tcBorders>
          </w:tcPr>
          <w:p w:rsidR="00F365CC" w:rsidRPr="002F2E89" w:rsidRDefault="00F365CC" w:rsidP="00F365CC">
            <w:pPr>
              <w:spacing w:after="0" w:line="240" w:lineRule="auto"/>
              <w:ind w:left="-135" w:firstLine="135"/>
              <w:jc w:val="both"/>
              <w:rPr>
                <w:rFonts w:ascii="Times New Roman" w:hAnsi="Times New Roman" w:cs="Times New Roman"/>
                <w:sz w:val="20"/>
                <w:szCs w:val="20"/>
              </w:rPr>
            </w:pPr>
            <w:r w:rsidRPr="002F2E89">
              <w:rPr>
                <w:rFonts w:ascii="Times New Roman" w:hAnsi="Times New Roman" w:cs="Times New Roman"/>
                <w:sz w:val="20"/>
                <w:szCs w:val="20"/>
              </w:rPr>
              <w:t>1.</w:t>
            </w:r>
          </w:p>
        </w:tc>
        <w:tc>
          <w:tcPr>
            <w:tcW w:w="1594"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Паспорт муниципальной программы</w:t>
            </w:r>
          </w:p>
        </w:tc>
        <w:tc>
          <w:tcPr>
            <w:tcW w:w="1559"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Постановление администрации города</w:t>
            </w:r>
          </w:p>
        </w:tc>
        <w:tc>
          <w:tcPr>
            <w:tcW w:w="2268"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 xml:space="preserve">О внесении изменения в постановление администрации города Нефтеюганска от 15.11.2018 N 603-п </w:t>
            </w:r>
            <w:r w:rsidR="00414FB8">
              <w:rPr>
                <w:rFonts w:ascii="Times New Roman" w:hAnsi="Times New Roman" w:cs="Times New Roman"/>
                <w:sz w:val="20"/>
                <w:szCs w:val="20"/>
              </w:rPr>
              <w:t>«</w:t>
            </w:r>
            <w:r w:rsidRPr="002F2E89">
              <w:rPr>
                <w:rFonts w:ascii="Times New Roman" w:hAnsi="Times New Roman" w:cs="Times New Roman"/>
                <w:sz w:val="20"/>
                <w:szCs w:val="20"/>
              </w:rPr>
              <w:t xml:space="preserve">Об утверждении муниципальной программы города Нефтеюганска </w:t>
            </w:r>
            <w:r w:rsidR="00414FB8">
              <w:rPr>
                <w:rFonts w:ascii="Times New Roman" w:hAnsi="Times New Roman" w:cs="Times New Roman"/>
                <w:sz w:val="20"/>
                <w:szCs w:val="20"/>
              </w:rPr>
              <w:t>«</w:t>
            </w:r>
            <w:r w:rsidRPr="002F2E89">
              <w:rPr>
                <w:rFonts w:ascii="Times New Roman" w:hAnsi="Times New Roman" w:cs="Times New Roman"/>
                <w:sz w:val="20"/>
                <w:szCs w:val="20"/>
              </w:rPr>
              <w:t>Социально-экономическое развитие города Нефтеюганска</w:t>
            </w:r>
            <w:r w:rsidR="00414FB8">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603-п от 15.11.2018</w:t>
            </w:r>
          </w:p>
        </w:tc>
        <w:tc>
          <w:tcPr>
            <w:tcW w:w="1418" w:type="dxa"/>
            <w:tcBorders>
              <w:top w:val="single" w:sz="4" w:space="0" w:color="auto"/>
              <w:left w:val="single" w:sz="4" w:space="0" w:color="auto"/>
              <w:bottom w:val="single" w:sz="4" w:space="0" w:color="auto"/>
              <w:right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Департамент экономического развития</w:t>
            </w:r>
          </w:p>
        </w:tc>
        <w:tc>
          <w:tcPr>
            <w:tcW w:w="1275" w:type="dxa"/>
            <w:tcBorders>
              <w:top w:val="single" w:sz="4" w:space="0" w:color="auto"/>
              <w:left w:val="single" w:sz="4" w:space="0" w:color="auto"/>
              <w:bottom w:val="single" w:sz="4" w:space="0" w:color="auto"/>
            </w:tcBorders>
          </w:tcPr>
          <w:p w:rsidR="00F365CC" w:rsidRPr="002F2E89" w:rsidRDefault="00F365CC" w:rsidP="00F365CC">
            <w:pPr>
              <w:spacing w:after="0" w:line="240" w:lineRule="auto"/>
              <w:rPr>
                <w:rFonts w:ascii="Times New Roman" w:hAnsi="Times New Roman" w:cs="Times New Roman"/>
                <w:sz w:val="20"/>
                <w:szCs w:val="20"/>
              </w:rPr>
            </w:pPr>
            <w:r w:rsidRPr="002F2E89">
              <w:rPr>
                <w:rFonts w:ascii="Times New Roman" w:hAnsi="Times New Roman" w:cs="Times New Roman"/>
                <w:sz w:val="20"/>
                <w:szCs w:val="20"/>
              </w:rPr>
              <w:t>http://www.admugansk.ru/read/51488</w:t>
            </w:r>
          </w:p>
        </w:tc>
      </w:tr>
    </w:tbl>
    <w:p w:rsidR="009D7D64" w:rsidRPr="002F2E89" w:rsidRDefault="00632A64" w:rsidP="009D7D64">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 xml:space="preserve">                                                                                                                           </w:t>
      </w:r>
      <w:r w:rsidR="009D7D64">
        <w:rPr>
          <w:rFonts w:ascii="Times New Roman" w:hAnsi="Times New Roman" w:cs="Times New Roman"/>
          <w:sz w:val="28"/>
          <w:szCs w:val="28"/>
        </w:rPr>
        <w:t>»</w:t>
      </w:r>
      <w:r w:rsidR="009D7D64" w:rsidRPr="002F2E89">
        <w:rPr>
          <w:rFonts w:ascii="Times New Roman" w:hAnsi="Times New Roman" w:cs="Times New Roman"/>
          <w:sz w:val="28"/>
          <w:szCs w:val="28"/>
        </w:rPr>
        <w:t>.</w:t>
      </w:r>
    </w:p>
    <w:p w:rsidR="005B4906" w:rsidRPr="002F2E89" w:rsidRDefault="005B4906" w:rsidP="005B4906">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1.</w:t>
      </w:r>
      <w:r w:rsidR="00077221" w:rsidRPr="002F2E89">
        <w:rPr>
          <w:rFonts w:ascii="Times New Roman" w:hAnsi="Times New Roman" w:cs="Times New Roman"/>
          <w:sz w:val="28"/>
          <w:szCs w:val="28"/>
        </w:rPr>
        <w:t>2</w:t>
      </w:r>
      <w:r w:rsidRPr="002F2E89">
        <w:rPr>
          <w:rFonts w:ascii="Times New Roman" w:hAnsi="Times New Roman" w:cs="Times New Roman"/>
          <w:sz w:val="28"/>
          <w:szCs w:val="28"/>
        </w:rPr>
        <w:t xml:space="preserve">.В паспорте муниципальной программы </w:t>
      </w:r>
      <w:r w:rsidR="00414FB8">
        <w:rPr>
          <w:rFonts w:ascii="Times New Roman" w:hAnsi="Times New Roman" w:cs="Times New Roman"/>
          <w:sz w:val="28"/>
          <w:szCs w:val="28"/>
        </w:rPr>
        <w:t>«</w:t>
      </w:r>
      <w:r w:rsidRPr="002F2E89">
        <w:rPr>
          <w:rFonts w:ascii="Times New Roman" w:hAnsi="Times New Roman" w:cs="Times New Roman"/>
          <w:sz w:val="28"/>
          <w:szCs w:val="28"/>
        </w:rPr>
        <w:t>Социально-экономическое развитие города Нефтеюганска</w:t>
      </w:r>
      <w:r w:rsidR="00414FB8">
        <w:rPr>
          <w:rFonts w:ascii="Times New Roman" w:hAnsi="Times New Roman" w:cs="Times New Roman"/>
          <w:sz w:val="28"/>
          <w:szCs w:val="28"/>
        </w:rPr>
        <w:t>»</w:t>
      </w:r>
      <w:r w:rsidRPr="002F2E89">
        <w:rPr>
          <w:rFonts w:ascii="Times New Roman" w:hAnsi="Times New Roman" w:cs="Times New Roman"/>
          <w:sz w:val="28"/>
          <w:szCs w:val="28"/>
        </w:rPr>
        <w:t xml:space="preserve"> (далее – </w:t>
      </w:r>
      <w:r w:rsidR="00FD341C" w:rsidRPr="002F2E89">
        <w:rPr>
          <w:rFonts w:ascii="Times New Roman" w:hAnsi="Times New Roman" w:cs="Times New Roman"/>
          <w:sz w:val="28"/>
          <w:szCs w:val="28"/>
        </w:rPr>
        <w:t xml:space="preserve">паспорт </w:t>
      </w:r>
      <w:r w:rsidRPr="002F2E89">
        <w:rPr>
          <w:rFonts w:ascii="Times New Roman" w:hAnsi="Times New Roman" w:cs="Times New Roman"/>
          <w:sz w:val="28"/>
          <w:szCs w:val="28"/>
        </w:rPr>
        <w:t>муниципальн</w:t>
      </w:r>
      <w:r w:rsidR="00FD341C" w:rsidRPr="002F2E89">
        <w:rPr>
          <w:rFonts w:ascii="Times New Roman" w:hAnsi="Times New Roman" w:cs="Times New Roman"/>
          <w:sz w:val="28"/>
          <w:szCs w:val="28"/>
        </w:rPr>
        <w:t>ой</w:t>
      </w:r>
      <w:r w:rsidRPr="002F2E89">
        <w:rPr>
          <w:rFonts w:ascii="Times New Roman" w:hAnsi="Times New Roman" w:cs="Times New Roman"/>
          <w:sz w:val="28"/>
          <w:szCs w:val="28"/>
        </w:rPr>
        <w:t xml:space="preserve"> программ</w:t>
      </w:r>
      <w:r w:rsidR="00FD341C" w:rsidRPr="002F2E89">
        <w:rPr>
          <w:rFonts w:ascii="Times New Roman" w:hAnsi="Times New Roman" w:cs="Times New Roman"/>
          <w:sz w:val="28"/>
          <w:szCs w:val="28"/>
        </w:rPr>
        <w:t>ы</w:t>
      </w:r>
      <w:r w:rsidRPr="002F2E89">
        <w:rPr>
          <w:rFonts w:ascii="Times New Roman" w:hAnsi="Times New Roman" w:cs="Times New Roman"/>
          <w:sz w:val="28"/>
          <w:szCs w:val="28"/>
        </w:rPr>
        <w:t>):</w:t>
      </w:r>
    </w:p>
    <w:p w:rsidR="005B4906" w:rsidRPr="002F2E89" w:rsidRDefault="005B4906" w:rsidP="005B4906">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1.</w:t>
      </w:r>
      <w:r w:rsidR="002F2E89" w:rsidRPr="002F2E89">
        <w:rPr>
          <w:rFonts w:ascii="Times New Roman" w:hAnsi="Times New Roman" w:cs="Times New Roman"/>
          <w:sz w:val="28"/>
          <w:szCs w:val="28"/>
        </w:rPr>
        <w:t>2</w:t>
      </w:r>
      <w:r w:rsidRPr="002F2E89">
        <w:rPr>
          <w:rFonts w:ascii="Times New Roman" w:hAnsi="Times New Roman" w:cs="Times New Roman"/>
          <w:sz w:val="28"/>
          <w:szCs w:val="28"/>
        </w:rPr>
        <w:t>.</w:t>
      </w:r>
      <w:r w:rsidR="00807DD2" w:rsidRPr="002F2E89">
        <w:rPr>
          <w:rFonts w:ascii="Times New Roman" w:hAnsi="Times New Roman" w:cs="Times New Roman"/>
          <w:sz w:val="28"/>
          <w:szCs w:val="28"/>
        </w:rPr>
        <w:t>1</w:t>
      </w:r>
      <w:r w:rsidRPr="002F2E89">
        <w:rPr>
          <w:rFonts w:ascii="Times New Roman" w:hAnsi="Times New Roman" w:cs="Times New Roman"/>
          <w:sz w:val="28"/>
          <w:szCs w:val="28"/>
        </w:rPr>
        <w:t xml:space="preserve">.Строку </w:t>
      </w:r>
      <w:r w:rsidR="00414FB8">
        <w:rPr>
          <w:rFonts w:ascii="Times New Roman" w:hAnsi="Times New Roman" w:cs="Times New Roman"/>
          <w:sz w:val="28"/>
          <w:szCs w:val="28"/>
        </w:rPr>
        <w:t>«</w:t>
      </w:r>
      <w:r w:rsidR="004247FF" w:rsidRPr="002F2E89">
        <w:rPr>
          <w:rFonts w:ascii="Times New Roman" w:hAnsi="Times New Roman" w:cs="Times New Roman"/>
          <w:sz w:val="28"/>
          <w:szCs w:val="28"/>
        </w:rPr>
        <w:t>Объемы финансового обеспечения за весь период реализации</w:t>
      </w:r>
      <w:r w:rsidR="00414FB8">
        <w:rPr>
          <w:rFonts w:ascii="Times New Roman" w:hAnsi="Times New Roman" w:cs="Times New Roman"/>
          <w:sz w:val="28"/>
          <w:szCs w:val="28"/>
        </w:rPr>
        <w:t>»</w:t>
      </w:r>
      <w:r w:rsidR="00FD341C" w:rsidRPr="002F2E89">
        <w:rPr>
          <w:rFonts w:ascii="Times New Roman" w:hAnsi="Times New Roman" w:cs="Times New Roman"/>
          <w:sz w:val="28"/>
          <w:szCs w:val="28"/>
        </w:rPr>
        <w:t xml:space="preserve"> таблицы 2 </w:t>
      </w:r>
      <w:r w:rsidR="00414FB8">
        <w:rPr>
          <w:rFonts w:ascii="Times New Roman" w:hAnsi="Times New Roman" w:cs="Times New Roman"/>
          <w:sz w:val="28"/>
          <w:szCs w:val="28"/>
        </w:rPr>
        <w:t>«</w:t>
      </w:r>
      <w:r w:rsidR="00FD341C" w:rsidRPr="002F2E89">
        <w:rPr>
          <w:rFonts w:ascii="Times New Roman" w:hAnsi="Times New Roman" w:cs="Times New Roman"/>
          <w:sz w:val="28"/>
          <w:szCs w:val="28"/>
        </w:rPr>
        <w:t>Основные положения</w:t>
      </w:r>
      <w:r w:rsidR="00414FB8">
        <w:rPr>
          <w:rFonts w:ascii="Times New Roman" w:hAnsi="Times New Roman" w:cs="Times New Roman"/>
          <w:sz w:val="28"/>
          <w:szCs w:val="28"/>
        </w:rPr>
        <w:t>»</w:t>
      </w:r>
      <w:r w:rsidRPr="002F2E89">
        <w:rPr>
          <w:rFonts w:ascii="Times New Roman" w:hAnsi="Times New Roman" w:cs="Times New Roman"/>
          <w:sz w:val="28"/>
          <w:szCs w:val="28"/>
        </w:rPr>
        <w:t xml:space="preserve"> изложить в следующей редакции:</w:t>
      </w:r>
    </w:p>
    <w:p w:rsidR="005B4906" w:rsidRPr="002F2E89" w:rsidRDefault="00414FB8" w:rsidP="005B49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4906" w:rsidRPr="002F2E89">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2F2E89"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2F2E89" w:rsidRDefault="005D467C" w:rsidP="005B4906">
            <w:pPr>
              <w:spacing w:after="0" w:line="240" w:lineRule="auto"/>
              <w:rPr>
                <w:rFonts w:ascii="Times New Roman" w:eastAsia="Calibri" w:hAnsi="Times New Roman" w:cs="Times New Roman"/>
                <w:sz w:val="24"/>
                <w:szCs w:val="24"/>
              </w:rPr>
            </w:pPr>
            <w:r w:rsidRPr="002F2E89">
              <w:rPr>
                <w:rFonts w:ascii="Times New Roman" w:eastAsia="Calibri" w:hAnsi="Times New Roman" w:cs="Times New Roman"/>
                <w:sz w:val="24"/>
                <w:szCs w:val="24"/>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2F2E89" w:rsidRDefault="005D467C" w:rsidP="00330500">
            <w:pPr>
              <w:spacing w:after="0" w:line="240" w:lineRule="auto"/>
              <w:jc w:val="both"/>
              <w:rPr>
                <w:rFonts w:ascii="Times New Roman" w:eastAsia="Calibri" w:hAnsi="Times New Roman" w:cs="Times New Roman"/>
                <w:sz w:val="24"/>
                <w:szCs w:val="24"/>
              </w:rPr>
            </w:pPr>
            <w:r w:rsidRPr="002F2E89">
              <w:rPr>
                <w:rFonts w:ascii="Times New Roman" w:eastAsia="Calibri" w:hAnsi="Times New Roman" w:cs="Times New Roman"/>
                <w:sz w:val="24"/>
                <w:szCs w:val="24"/>
              </w:rPr>
              <w:t>3</w:t>
            </w:r>
            <w:r w:rsidR="00D210C9" w:rsidRPr="002F2E89">
              <w:rPr>
                <w:rFonts w:ascii="Times New Roman" w:eastAsia="Calibri" w:hAnsi="Times New Roman" w:cs="Times New Roman"/>
                <w:sz w:val="24"/>
                <w:szCs w:val="24"/>
              </w:rPr>
              <w:t> 68</w:t>
            </w:r>
            <w:r w:rsidR="00EA7FC5" w:rsidRPr="002F2E89">
              <w:rPr>
                <w:rFonts w:ascii="Times New Roman" w:eastAsia="Calibri" w:hAnsi="Times New Roman" w:cs="Times New Roman"/>
                <w:sz w:val="24"/>
                <w:szCs w:val="24"/>
              </w:rPr>
              <w:t>7</w:t>
            </w:r>
            <w:r w:rsidR="00330500">
              <w:rPr>
                <w:rFonts w:ascii="Times New Roman" w:eastAsia="Calibri" w:hAnsi="Times New Roman" w:cs="Times New Roman"/>
                <w:sz w:val="24"/>
                <w:szCs w:val="24"/>
              </w:rPr>
              <w:t> 564,907</w:t>
            </w:r>
            <w:r w:rsidRPr="002F2E89">
              <w:rPr>
                <w:rFonts w:ascii="Times New Roman" w:eastAsia="Calibri" w:hAnsi="Times New Roman" w:cs="Times New Roman"/>
                <w:sz w:val="24"/>
                <w:szCs w:val="24"/>
              </w:rPr>
              <w:t xml:space="preserve"> тыс. рублей</w:t>
            </w:r>
          </w:p>
        </w:tc>
      </w:tr>
    </w:tbl>
    <w:p w:rsidR="00783917" w:rsidRPr="002F2E89" w:rsidRDefault="005B4906" w:rsidP="00783917">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 xml:space="preserve">                                                                                                                            </w:t>
      </w:r>
      <w:r w:rsidR="009D7D64">
        <w:rPr>
          <w:rFonts w:ascii="Times New Roman" w:hAnsi="Times New Roman" w:cs="Times New Roman"/>
          <w:sz w:val="28"/>
          <w:szCs w:val="28"/>
        </w:rPr>
        <w:t>»</w:t>
      </w:r>
      <w:r w:rsidRPr="002F2E89">
        <w:rPr>
          <w:rFonts w:ascii="Times New Roman" w:hAnsi="Times New Roman" w:cs="Times New Roman"/>
          <w:sz w:val="28"/>
          <w:szCs w:val="28"/>
        </w:rPr>
        <w:t>.</w:t>
      </w:r>
    </w:p>
    <w:p w:rsidR="00807DD2" w:rsidRPr="002F2E89" w:rsidRDefault="00807DD2" w:rsidP="00807DD2">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1.</w:t>
      </w:r>
      <w:r w:rsidR="002F2E89" w:rsidRPr="002F2E89">
        <w:rPr>
          <w:rFonts w:ascii="Times New Roman" w:hAnsi="Times New Roman" w:cs="Times New Roman"/>
          <w:sz w:val="28"/>
          <w:szCs w:val="28"/>
        </w:rPr>
        <w:t>2</w:t>
      </w:r>
      <w:r w:rsidRPr="002F2E89">
        <w:rPr>
          <w:rFonts w:ascii="Times New Roman" w:hAnsi="Times New Roman" w:cs="Times New Roman"/>
          <w:sz w:val="28"/>
          <w:szCs w:val="28"/>
        </w:rPr>
        <w:t xml:space="preserve">.2.Строку </w:t>
      </w:r>
      <w:r w:rsidR="00414FB8">
        <w:rPr>
          <w:rFonts w:ascii="Times New Roman" w:hAnsi="Times New Roman" w:cs="Times New Roman"/>
          <w:sz w:val="28"/>
          <w:szCs w:val="28"/>
        </w:rPr>
        <w:t>«</w:t>
      </w:r>
      <w:r w:rsidRPr="002F2E89">
        <w:rPr>
          <w:rFonts w:ascii="Times New Roman" w:hAnsi="Times New Roman" w:cs="Times New Roman"/>
          <w:sz w:val="28"/>
          <w:szCs w:val="28"/>
        </w:rPr>
        <w:t>Связь с национальными целями развития Российской Федерации/Региональный проект/Государственная программа Ханты-Мансийского автономного округа – Югры</w:t>
      </w:r>
      <w:r w:rsidR="00414FB8">
        <w:rPr>
          <w:rFonts w:ascii="Times New Roman" w:hAnsi="Times New Roman" w:cs="Times New Roman"/>
          <w:sz w:val="28"/>
          <w:szCs w:val="28"/>
        </w:rPr>
        <w:t>»</w:t>
      </w:r>
      <w:r w:rsidRPr="002F2E89">
        <w:rPr>
          <w:rFonts w:ascii="Times New Roman" w:hAnsi="Times New Roman" w:cs="Times New Roman"/>
          <w:sz w:val="28"/>
          <w:szCs w:val="28"/>
        </w:rPr>
        <w:t xml:space="preserve"> таблицы 2 </w:t>
      </w:r>
      <w:r w:rsidR="00414FB8">
        <w:rPr>
          <w:rFonts w:ascii="Times New Roman" w:hAnsi="Times New Roman" w:cs="Times New Roman"/>
          <w:sz w:val="28"/>
          <w:szCs w:val="28"/>
        </w:rPr>
        <w:t>«</w:t>
      </w:r>
      <w:r w:rsidRPr="002F2E89">
        <w:rPr>
          <w:rFonts w:ascii="Times New Roman" w:hAnsi="Times New Roman" w:cs="Times New Roman"/>
          <w:sz w:val="28"/>
          <w:szCs w:val="28"/>
        </w:rPr>
        <w:t>Основные положения</w:t>
      </w:r>
      <w:r w:rsidR="00414FB8">
        <w:rPr>
          <w:rFonts w:ascii="Times New Roman" w:hAnsi="Times New Roman" w:cs="Times New Roman"/>
          <w:sz w:val="28"/>
          <w:szCs w:val="28"/>
        </w:rPr>
        <w:t>»</w:t>
      </w:r>
      <w:r w:rsidRPr="002F2E89">
        <w:rPr>
          <w:rFonts w:ascii="Times New Roman" w:hAnsi="Times New Roman" w:cs="Times New Roman"/>
          <w:sz w:val="28"/>
          <w:szCs w:val="28"/>
        </w:rPr>
        <w:t xml:space="preserve"> изложить в следующей редакции:</w:t>
      </w:r>
    </w:p>
    <w:p w:rsidR="00807DD2" w:rsidRPr="002F2E89" w:rsidRDefault="00414FB8" w:rsidP="00807D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116"/>
      </w:tblGrid>
      <w:tr w:rsidR="00807DD2" w:rsidRPr="002F2E89" w:rsidTr="009D7D64">
        <w:tc>
          <w:tcPr>
            <w:tcW w:w="3544" w:type="dxa"/>
            <w:tcBorders>
              <w:top w:val="single" w:sz="4" w:space="0" w:color="auto"/>
              <w:bottom w:val="single" w:sz="4" w:space="0" w:color="auto"/>
              <w:right w:val="single" w:sz="4" w:space="0" w:color="auto"/>
            </w:tcBorders>
          </w:tcPr>
          <w:p w:rsidR="00807DD2" w:rsidRPr="002F2E89" w:rsidRDefault="00807DD2" w:rsidP="00810EB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F2E89">
              <w:rPr>
                <w:rFonts w:ascii="Times New Roman CYR" w:eastAsiaTheme="minorEastAsia" w:hAnsi="Times New Roman CYR" w:cs="Times New Roman CYR"/>
                <w:sz w:val="24"/>
                <w:szCs w:val="24"/>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6116" w:type="dxa"/>
            <w:tcBorders>
              <w:top w:val="single" w:sz="4" w:space="0" w:color="auto"/>
              <w:left w:val="single" w:sz="4" w:space="0" w:color="auto"/>
              <w:bottom w:val="single" w:sz="4" w:space="0" w:color="auto"/>
            </w:tcBorders>
          </w:tcPr>
          <w:p w:rsidR="00807DD2" w:rsidRPr="002F2E89" w:rsidRDefault="00807DD2" w:rsidP="00810EB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2F2E89">
              <w:rPr>
                <w:rFonts w:ascii="Times New Roman CYR" w:eastAsiaTheme="minorEastAsia" w:hAnsi="Times New Roman CYR" w:cs="Times New Roman CYR"/>
                <w:sz w:val="24"/>
                <w:szCs w:val="24"/>
                <w:lang w:eastAsia="ru-RU"/>
              </w:rPr>
              <w:t xml:space="preserve">Устойчивая и динамичная экономика / </w:t>
            </w:r>
            <w:r w:rsidR="00414FB8">
              <w:rPr>
                <w:rFonts w:ascii="Times New Roman CYR" w:eastAsiaTheme="minorEastAsia" w:hAnsi="Times New Roman CYR" w:cs="Times New Roman CYR"/>
                <w:sz w:val="24"/>
                <w:szCs w:val="24"/>
                <w:lang w:eastAsia="ru-RU"/>
              </w:rPr>
              <w:t>«</w:t>
            </w:r>
            <w:r w:rsidRPr="002F2E89">
              <w:rPr>
                <w:rFonts w:ascii="Times New Roman CYR" w:eastAsiaTheme="minorEastAsia" w:hAnsi="Times New Roman CYR" w:cs="Times New Roman CYR"/>
                <w:sz w:val="24"/>
                <w:szCs w:val="24"/>
                <w:lang w:eastAsia="ru-RU"/>
              </w:rPr>
              <w:t>Малое и среднее предпринимательство и поддержка индивидуальной предпринимательской инициативы</w:t>
            </w:r>
            <w:r w:rsidR="00414FB8">
              <w:rPr>
                <w:rFonts w:ascii="Times New Roman CYR" w:eastAsiaTheme="minorEastAsia" w:hAnsi="Times New Roman CYR" w:cs="Times New Roman CYR"/>
                <w:sz w:val="24"/>
                <w:szCs w:val="24"/>
                <w:lang w:eastAsia="ru-RU"/>
              </w:rPr>
              <w:t>»</w:t>
            </w:r>
            <w:r w:rsidRPr="002F2E89">
              <w:rPr>
                <w:rFonts w:ascii="Times New Roman CYR" w:eastAsiaTheme="minorEastAsia" w:hAnsi="Times New Roman CYR" w:cs="Times New Roman CYR"/>
                <w:sz w:val="24"/>
                <w:szCs w:val="24"/>
                <w:lang w:eastAsia="ru-RU"/>
              </w:rPr>
              <w:t xml:space="preserve"> / </w:t>
            </w:r>
            <w:r w:rsidR="00414FB8">
              <w:rPr>
                <w:rFonts w:ascii="Times New Roman CYR" w:eastAsiaTheme="minorEastAsia" w:hAnsi="Times New Roman CYR" w:cs="Times New Roman CYR"/>
                <w:sz w:val="24"/>
                <w:szCs w:val="24"/>
                <w:lang w:eastAsia="ru-RU"/>
              </w:rPr>
              <w:t>«</w:t>
            </w:r>
            <w:hyperlink r:id="rId9" w:history="1">
              <w:r w:rsidRPr="002F2E89">
                <w:rPr>
                  <w:rFonts w:ascii="Times New Roman CYR" w:eastAsiaTheme="minorEastAsia" w:hAnsi="Times New Roman CYR" w:cs="Times New Roman CYR"/>
                  <w:sz w:val="24"/>
                  <w:szCs w:val="24"/>
                  <w:lang w:eastAsia="ru-RU"/>
                </w:rPr>
                <w:t>Развитие экономического потенциала</w:t>
              </w:r>
            </w:hyperlink>
            <w:r w:rsidR="00414FB8">
              <w:rPr>
                <w:rFonts w:ascii="Times New Roman CYR" w:eastAsiaTheme="minorEastAsia" w:hAnsi="Times New Roman CYR" w:cs="Times New Roman CYR"/>
                <w:sz w:val="24"/>
                <w:szCs w:val="24"/>
                <w:lang w:eastAsia="ru-RU"/>
              </w:rPr>
              <w:t>«</w:t>
            </w:r>
          </w:p>
        </w:tc>
      </w:tr>
    </w:tbl>
    <w:p w:rsidR="009D7D64" w:rsidRPr="002F2E89" w:rsidRDefault="00807DD2" w:rsidP="009D7D64">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 xml:space="preserve">                                                                                                                     </w:t>
      </w:r>
      <w:r w:rsidR="009D7D64">
        <w:rPr>
          <w:rFonts w:ascii="Times New Roman" w:hAnsi="Times New Roman" w:cs="Times New Roman"/>
          <w:sz w:val="28"/>
          <w:szCs w:val="28"/>
        </w:rPr>
        <w:t xml:space="preserve">       »</w:t>
      </w:r>
      <w:r w:rsidR="009D7D64" w:rsidRPr="002F2E89">
        <w:rPr>
          <w:rFonts w:ascii="Times New Roman" w:hAnsi="Times New Roman" w:cs="Times New Roman"/>
          <w:sz w:val="28"/>
          <w:szCs w:val="28"/>
        </w:rPr>
        <w:t>.</w:t>
      </w:r>
    </w:p>
    <w:p w:rsidR="00807DD2" w:rsidRPr="002F2E89" w:rsidRDefault="00807DD2" w:rsidP="00807DD2">
      <w:pPr>
        <w:spacing w:after="0" w:line="240" w:lineRule="auto"/>
        <w:jc w:val="both"/>
        <w:rPr>
          <w:rFonts w:ascii="Times New Roman" w:hAnsi="Times New Roman" w:cs="Times New Roman"/>
          <w:sz w:val="28"/>
          <w:szCs w:val="28"/>
        </w:rPr>
      </w:pPr>
    </w:p>
    <w:p w:rsidR="00807DD2" w:rsidRPr="002F2E89" w:rsidRDefault="00807DD2" w:rsidP="005B4906">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1.</w:t>
      </w:r>
      <w:r w:rsidR="002F2E89" w:rsidRPr="002F2E89">
        <w:rPr>
          <w:rFonts w:ascii="Times New Roman" w:hAnsi="Times New Roman" w:cs="Times New Roman"/>
          <w:sz w:val="28"/>
          <w:szCs w:val="28"/>
        </w:rPr>
        <w:t>2</w:t>
      </w:r>
      <w:r w:rsidRPr="002F2E89">
        <w:rPr>
          <w:rFonts w:ascii="Times New Roman" w:hAnsi="Times New Roman" w:cs="Times New Roman"/>
          <w:sz w:val="28"/>
          <w:szCs w:val="28"/>
        </w:rPr>
        <w:t xml:space="preserve">.3.Строку 3.3 таблицы 5 </w:t>
      </w:r>
      <w:r w:rsidR="00414FB8">
        <w:rPr>
          <w:rFonts w:ascii="Times New Roman" w:hAnsi="Times New Roman" w:cs="Times New Roman"/>
          <w:sz w:val="28"/>
          <w:szCs w:val="28"/>
        </w:rPr>
        <w:t>«</w:t>
      </w:r>
      <w:r w:rsidRPr="002F2E89">
        <w:rPr>
          <w:rFonts w:ascii="Times New Roman" w:hAnsi="Times New Roman" w:cs="Times New Roman"/>
          <w:sz w:val="28"/>
          <w:szCs w:val="28"/>
        </w:rPr>
        <w:t>Структура муниципальной программы</w:t>
      </w:r>
      <w:r w:rsidR="00414FB8">
        <w:rPr>
          <w:rFonts w:ascii="Times New Roman" w:hAnsi="Times New Roman" w:cs="Times New Roman"/>
          <w:sz w:val="28"/>
          <w:szCs w:val="28"/>
        </w:rPr>
        <w:t>»</w:t>
      </w:r>
      <w:r w:rsidRPr="002F2E89">
        <w:rPr>
          <w:rFonts w:ascii="Times New Roman" w:hAnsi="Times New Roman" w:cs="Times New Roman"/>
          <w:sz w:val="28"/>
          <w:szCs w:val="28"/>
        </w:rPr>
        <w:t xml:space="preserve"> изложить в следующей редакции:</w:t>
      </w:r>
    </w:p>
    <w:p w:rsidR="00807DD2" w:rsidRPr="002F2E89" w:rsidRDefault="00414FB8" w:rsidP="00807D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634" w:type="dxa"/>
        <w:tblInd w:w="113" w:type="dxa"/>
        <w:tblLook w:val="04A0" w:firstRow="1" w:lastRow="0" w:firstColumn="1" w:lastColumn="0" w:noHBand="0" w:noVBand="1"/>
      </w:tblPr>
      <w:tblGrid>
        <w:gridCol w:w="576"/>
        <w:gridCol w:w="2218"/>
        <w:gridCol w:w="3087"/>
        <w:gridCol w:w="3753"/>
      </w:tblGrid>
      <w:tr w:rsidR="00807DD2" w:rsidRPr="002F2E89" w:rsidTr="009D7D64">
        <w:trPr>
          <w:trHeight w:val="96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07DD2" w:rsidRPr="002F2E89" w:rsidRDefault="00807DD2" w:rsidP="00807DD2">
            <w:pPr>
              <w:spacing w:after="0" w:line="240" w:lineRule="auto"/>
              <w:jc w:val="center"/>
              <w:rPr>
                <w:rFonts w:ascii="Times New Roman" w:eastAsia="Times New Roman" w:hAnsi="Times New Roman" w:cs="Times New Roman"/>
                <w:color w:val="000000"/>
                <w:sz w:val="24"/>
                <w:szCs w:val="24"/>
                <w:lang w:eastAsia="ru-RU"/>
              </w:rPr>
            </w:pPr>
            <w:r w:rsidRPr="002F2E89">
              <w:rPr>
                <w:rFonts w:ascii="Times New Roman" w:eastAsia="Times New Roman" w:hAnsi="Times New Roman" w:cs="Times New Roman"/>
                <w:color w:val="000000"/>
                <w:sz w:val="24"/>
                <w:szCs w:val="24"/>
                <w:lang w:eastAsia="ru-RU"/>
              </w:rPr>
              <w:t>3.3.</w:t>
            </w:r>
          </w:p>
        </w:tc>
        <w:tc>
          <w:tcPr>
            <w:tcW w:w="9058" w:type="dxa"/>
            <w:gridSpan w:val="3"/>
            <w:tcBorders>
              <w:top w:val="single" w:sz="4" w:space="0" w:color="auto"/>
              <w:left w:val="nil"/>
              <w:bottom w:val="single" w:sz="4" w:space="0" w:color="auto"/>
              <w:right w:val="single" w:sz="4" w:space="0" w:color="000000"/>
            </w:tcBorders>
            <w:shd w:val="clear" w:color="auto" w:fill="auto"/>
            <w:hideMark/>
          </w:tcPr>
          <w:p w:rsidR="00807DD2" w:rsidRPr="002F2E89" w:rsidRDefault="00807DD2" w:rsidP="00807DD2">
            <w:pPr>
              <w:spacing w:after="0" w:line="240" w:lineRule="auto"/>
              <w:rPr>
                <w:rFonts w:ascii="Times New Roman" w:eastAsia="Times New Roman" w:hAnsi="Times New Roman" w:cs="Times New Roman"/>
                <w:color w:val="000000"/>
                <w:sz w:val="24"/>
                <w:szCs w:val="24"/>
                <w:lang w:eastAsia="ru-RU"/>
              </w:rPr>
            </w:pPr>
            <w:r w:rsidRPr="002F2E89">
              <w:rPr>
                <w:rFonts w:ascii="Times New Roman" w:eastAsia="Times New Roman" w:hAnsi="Times New Roman" w:cs="Times New Roman"/>
                <w:color w:val="000000"/>
                <w:sz w:val="24"/>
                <w:szCs w:val="24"/>
                <w:lang w:eastAsia="ru-RU"/>
              </w:rPr>
              <w:t xml:space="preserve">Комплекс процессных мероприятий </w:t>
            </w:r>
            <w:r w:rsidR="00414FB8">
              <w:rPr>
                <w:rFonts w:ascii="Times New Roman" w:eastAsia="Times New Roman" w:hAnsi="Times New Roman" w:cs="Times New Roman"/>
                <w:color w:val="000000"/>
                <w:sz w:val="24"/>
                <w:szCs w:val="24"/>
                <w:lang w:eastAsia="ru-RU"/>
              </w:rPr>
              <w:t>«</w:t>
            </w:r>
            <w:r w:rsidRPr="002F2E89">
              <w:rPr>
                <w:rFonts w:ascii="Times New Roman" w:eastAsia="Times New Roman" w:hAnsi="Times New Roman" w:cs="Times New Roman"/>
                <w:color w:val="000000"/>
                <w:sz w:val="24"/>
                <w:szCs w:val="24"/>
                <w:lang w:eastAsia="ru-RU"/>
              </w:rPr>
              <w:t>Развитие сельскохозяйственного производства, рыбохозяйственного комплекса и деятельности по заготовке и переработке дикоросов</w:t>
            </w:r>
            <w:r w:rsidR="00414FB8">
              <w:rPr>
                <w:rFonts w:ascii="Times New Roman" w:eastAsia="Times New Roman" w:hAnsi="Times New Roman" w:cs="Times New Roman"/>
                <w:color w:val="000000"/>
                <w:sz w:val="24"/>
                <w:szCs w:val="24"/>
                <w:lang w:eastAsia="ru-RU"/>
              </w:rPr>
              <w:t>»</w:t>
            </w:r>
            <w:r w:rsidRPr="002F2E89">
              <w:rPr>
                <w:rFonts w:ascii="Times New Roman" w:eastAsia="Times New Roman" w:hAnsi="Times New Roman" w:cs="Times New Roman"/>
                <w:color w:val="000000"/>
                <w:sz w:val="24"/>
                <w:szCs w:val="24"/>
                <w:lang w:eastAsia="ru-RU"/>
              </w:rPr>
              <w:br/>
              <w:t>Куратор - Халезова Наталья Сергеевна</w:t>
            </w:r>
          </w:p>
        </w:tc>
      </w:tr>
      <w:tr w:rsidR="00807DD2" w:rsidRPr="002F2E89" w:rsidTr="009D7D64">
        <w:trPr>
          <w:trHeight w:val="63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807DD2" w:rsidRPr="002F2E89" w:rsidRDefault="00807DD2" w:rsidP="00807DD2">
            <w:pPr>
              <w:spacing w:after="0" w:line="240" w:lineRule="auto"/>
              <w:rPr>
                <w:rFonts w:ascii="Times New Roman" w:eastAsia="Times New Roman" w:hAnsi="Times New Roman" w:cs="Times New Roman"/>
                <w:color w:val="000000"/>
                <w:sz w:val="24"/>
                <w:szCs w:val="24"/>
                <w:lang w:eastAsia="ru-RU"/>
              </w:rPr>
            </w:pPr>
          </w:p>
        </w:tc>
        <w:tc>
          <w:tcPr>
            <w:tcW w:w="2218" w:type="dxa"/>
            <w:tcBorders>
              <w:top w:val="nil"/>
              <w:left w:val="nil"/>
              <w:bottom w:val="single" w:sz="4" w:space="0" w:color="auto"/>
              <w:right w:val="single" w:sz="4" w:space="0" w:color="auto"/>
            </w:tcBorders>
            <w:shd w:val="clear" w:color="auto" w:fill="auto"/>
            <w:hideMark/>
          </w:tcPr>
          <w:p w:rsidR="00807DD2" w:rsidRPr="002F2E89" w:rsidRDefault="00807DD2" w:rsidP="00807DD2">
            <w:pPr>
              <w:spacing w:after="0" w:line="240" w:lineRule="auto"/>
              <w:rPr>
                <w:rFonts w:ascii="Times New Roman" w:eastAsia="Times New Roman" w:hAnsi="Times New Roman" w:cs="Times New Roman"/>
                <w:color w:val="000000"/>
                <w:sz w:val="24"/>
                <w:szCs w:val="24"/>
                <w:lang w:eastAsia="ru-RU"/>
              </w:rPr>
            </w:pPr>
            <w:r w:rsidRPr="002F2E89">
              <w:rPr>
                <w:rFonts w:ascii="Times New Roman" w:eastAsia="Times New Roman" w:hAnsi="Times New Roman" w:cs="Times New Roman"/>
                <w:color w:val="000000"/>
                <w:sz w:val="24"/>
                <w:szCs w:val="24"/>
                <w:lang w:eastAsia="ru-RU"/>
              </w:rPr>
              <w:t>Ответственный за реализацию: Администрация города</w:t>
            </w:r>
          </w:p>
        </w:tc>
        <w:tc>
          <w:tcPr>
            <w:tcW w:w="6840" w:type="dxa"/>
            <w:gridSpan w:val="2"/>
            <w:tcBorders>
              <w:top w:val="single" w:sz="4" w:space="0" w:color="auto"/>
              <w:left w:val="nil"/>
              <w:bottom w:val="single" w:sz="4" w:space="0" w:color="auto"/>
              <w:right w:val="single" w:sz="4" w:space="0" w:color="000000"/>
            </w:tcBorders>
            <w:shd w:val="clear" w:color="auto" w:fill="auto"/>
            <w:hideMark/>
          </w:tcPr>
          <w:p w:rsidR="00807DD2" w:rsidRPr="002F2E89" w:rsidRDefault="00807DD2" w:rsidP="00807DD2">
            <w:pPr>
              <w:spacing w:after="0" w:line="240" w:lineRule="auto"/>
              <w:rPr>
                <w:rFonts w:ascii="Times New Roman" w:eastAsia="Times New Roman" w:hAnsi="Times New Roman" w:cs="Times New Roman"/>
                <w:color w:val="000000"/>
                <w:sz w:val="24"/>
                <w:szCs w:val="24"/>
                <w:lang w:eastAsia="ru-RU"/>
              </w:rPr>
            </w:pPr>
            <w:r w:rsidRPr="002F2E89">
              <w:rPr>
                <w:rFonts w:ascii="Times New Roman" w:eastAsia="Times New Roman" w:hAnsi="Times New Roman" w:cs="Times New Roman"/>
                <w:color w:val="000000"/>
                <w:sz w:val="24"/>
                <w:szCs w:val="24"/>
                <w:lang w:eastAsia="ru-RU"/>
              </w:rPr>
              <w:t>Срок реализации: 2024 - 2030</w:t>
            </w:r>
          </w:p>
        </w:tc>
      </w:tr>
      <w:tr w:rsidR="00807DD2" w:rsidRPr="002F2E89" w:rsidTr="009D7D64">
        <w:trPr>
          <w:trHeight w:val="126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807DD2" w:rsidRPr="002F2E89" w:rsidRDefault="00807DD2" w:rsidP="00807DD2">
            <w:pPr>
              <w:spacing w:after="0" w:line="240" w:lineRule="auto"/>
              <w:rPr>
                <w:rFonts w:ascii="Times New Roman" w:eastAsia="Times New Roman" w:hAnsi="Times New Roman" w:cs="Times New Roman"/>
                <w:color w:val="000000"/>
                <w:sz w:val="24"/>
                <w:szCs w:val="24"/>
                <w:lang w:eastAsia="ru-RU"/>
              </w:rPr>
            </w:pPr>
          </w:p>
        </w:tc>
        <w:tc>
          <w:tcPr>
            <w:tcW w:w="2218" w:type="dxa"/>
            <w:tcBorders>
              <w:top w:val="nil"/>
              <w:left w:val="nil"/>
              <w:bottom w:val="single" w:sz="4" w:space="0" w:color="auto"/>
              <w:right w:val="single" w:sz="4" w:space="0" w:color="auto"/>
            </w:tcBorders>
            <w:shd w:val="clear" w:color="auto" w:fill="auto"/>
            <w:hideMark/>
          </w:tcPr>
          <w:p w:rsidR="00807DD2" w:rsidRPr="002F2E89" w:rsidRDefault="00807DD2" w:rsidP="00807DD2">
            <w:pPr>
              <w:spacing w:after="0" w:line="240" w:lineRule="auto"/>
              <w:rPr>
                <w:rFonts w:ascii="Times New Roman" w:eastAsia="Times New Roman" w:hAnsi="Times New Roman" w:cs="Times New Roman"/>
                <w:color w:val="000000"/>
                <w:sz w:val="24"/>
                <w:szCs w:val="24"/>
                <w:lang w:eastAsia="ru-RU"/>
              </w:rPr>
            </w:pPr>
            <w:r w:rsidRPr="002F2E89">
              <w:rPr>
                <w:rFonts w:ascii="Times New Roman" w:eastAsia="Times New Roman" w:hAnsi="Times New Roman" w:cs="Times New Roman"/>
                <w:color w:val="000000"/>
                <w:sz w:val="24"/>
                <w:szCs w:val="24"/>
                <w:lang w:eastAsia="ru-RU"/>
              </w:rPr>
              <w:t>Задача. Эффективное исполнение переданных государственных полномочий</w:t>
            </w:r>
          </w:p>
        </w:tc>
        <w:tc>
          <w:tcPr>
            <w:tcW w:w="3087" w:type="dxa"/>
            <w:tcBorders>
              <w:top w:val="nil"/>
              <w:left w:val="nil"/>
              <w:bottom w:val="single" w:sz="4" w:space="0" w:color="auto"/>
              <w:right w:val="single" w:sz="4" w:space="0" w:color="auto"/>
            </w:tcBorders>
            <w:shd w:val="clear" w:color="auto" w:fill="auto"/>
            <w:hideMark/>
          </w:tcPr>
          <w:p w:rsidR="00807DD2" w:rsidRPr="002F2E89" w:rsidRDefault="00807DD2" w:rsidP="00807DD2">
            <w:pPr>
              <w:spacing w:after="0" w:line="240" w:lineRule="auto"/>
              <w:rPr>
                <w:rFonts w:ascii="Times New Roman" w:eastAsia="Times New Roman" w:hAnsi="Times New Roman" w:cs="Times New Roman"/>
                <w:color w:val="000000"/>
                <w:sz w:val="24"/>
                <w:szCs w:val="24"/>
                <w:lang w:eastAsia="ru-RU"/>
              </w:rPr>
            </w:pPr>
            <w:r w:rsidRPr="002F2E89">
              <w:rPr>
                <w:rFonts w:ascii="Times New Roman" w:eastAsia="Times New Roman" w:hAnsi="Times New Roman" w:cs="Times New Roman"/>
                <w:color w:val="000000"/>
                <w:sz w:val="24"/>
                <w:szCs w:val="24"/>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3753" w:type="dxa"/>
            <w:tcBorders>
              <w:top w:val="nil"/>
              <w:left w:val="nil"/>
              <w:bottom w:val="single" w:sz="4" w:space="0" w:color="auto"/>
              <w:right w:val="single" w:sz="4" w:space="0" w:color="auto"/>
            </w:tcBorders>
            <w:shd w:val="clear" w:color="auto" w:fill="auto"/>
            <w:hideMark/>
          </w:tcPr>
          <w:p w:rsidR="00807DD2" w:rsidRPr="002F2E89" w:rsidRDefault="00807DD2" w:rsidP="00807DD2">
            <w:pPr>
              <w:spacing w:after="0" w:line="240" w:lineRule="auto"/>
              <w:rPr>
                <w:rFonts w:ascii="Times New Roman" w:eastAsia="Times New Roman" w:hAnsi="Times New Roman" w:cs="Times New Roman"/>
                <w:sz w:val="24"/>
                <w:szCs w:val="24"/>
                <w:lang w:eastAsia="ru-RU"/>
              </w:rPr>
            </w:pPr>
            <w:r w:rsidRPr="002F2E89">
              <w:rPr>
                <w:rFonts w:ascii="Times New Roman" w:eastAsia="Times New Roman" w:hAnsi="Times New Roman" w:cs="Times New Roman"/>
                <w:sz w:val="24"/>
                <w:szCs w:val="24"/>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r>
    </w:tbl>
    <w:p w:rsidR="009D7D64" w:rsidRPr="002F2E89" w:rsidRDefault="009D7D64" w:rsidP="009D7D6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r w:rsidRPr="002F2E89">
        <w:rPr>
          <w:rFonts w:ascii="Times New Roman" w:hAnsi="Times New Roman" w:cs="Times New Roman"/>
          <w:sz w:val="28"/>
          <w:szCs w:val="28"/>
        </w:rPr>
        <w:t>.</w:t>
      </w:r>
    </w:p>
    <w:p w:rsidR="005D467C" w:rsidRPr="005E61ED" w:rsidRDefault="006777E6" w:rsidP="005B4906">
      <w:pPr>
        <w:spacing w:after="0" w:line="240" w:lineRule="auto"/>
        <w:ind w:firstLine="709"/>
        <w:jc w:val="both"/>
        <w:rPr>
          <w:rFonts w:ascii="Times New Roman" w:hAnsi="Times New Roman" w:cs="Times New Roman"/>
          <w:sz w:val="28"/>
          <w:szCs w:val="28"/>
        </w:rPr>
      </w:pPr>
      <w:r w:rsidRPr="002F2E89">
        <w:rPr>
          <w:rFonts w:ascii="Times New Roman" w:hAnsi="Times New Roman" w:cs="Times New Roman"/>
          <w:sz w:val="28"/>
          <w:szCs w:val="28"/>
        </w:rPr>
        <w:t>1.</w:t>
      </w:r>
      <w:r w:rsidR="00077221" w:rsidRPr="002F2E89">
        <w:rPr>
          <w:rFonts w:ascii="Times New Roman" w:hAnsi="Times New Roman" w:cs="Times New Roman"/>
          <w:sz w:val="28"/>
          <w:szCs w:val="28"/>
        </w:rPr>
        <w:t>3</w:t>
      </w:r>
      <w:r w:rsidRPr="002F2E89">
        <w:rPr>
          <w:rFonts w:ascii="Times New Roman" w:hAnsi="Times New Roman" w:cs="Times New Roman"/>
          <w:sz w:val="28"/>
          <w:szCs w:val="28"/>
        </w:rPr>
        <w:t>.Таблиц</w:t>
      </w:r>
      <w:r w:rsidR="00807DD2" w:rsidRPr="002F2E89">
        <w:rPr>
          <w:rFonts w:ascii="Times New Roman" w:hAnsi="Times New Roman" w:cs="Times New Roman"/>
          <w:sz w:val="28"/>
          <w:szCs w:val="28"/>
        </w:rPr>
        <w:t>ы</w:t>
      </w:r>
      <w:r w:rsidRPr="002F2E89">
        <w:rPr>
          <w:rFonts w:ascii="Times New Roman" w:hAnsi="Times New Roman" w:cs="Times New Roman"/>
          <w:sz w:val="28"/>
          <w:szCs w:val="28"/>
        </w:rPr>
        <w:t xml:space="preserve"> </w:t>
      </w:r>
      <w:r w:rsidR="00807DD2" w:rsidRPr="002F2E89">
        <w:rPr>
          <w:rFonts w:ascii="Times New Roman" w:hAnsi="Times New Roman" w:cs="Times New Roman"/>
          <w:sz w:val="28"/>
          <w:szCs w:val="28"/>
        </w:rPr>
        <w:t>3</w:t>
      </w:r>
      <w:r w:rsidR="005E61ED" w:rsidRPr="002F2E89">
        <w:rPr>
          <w:rFonts w:ascii="Times New Roman" w:hAnsi="Times New Roman" w:cs="Times New Roman"/>
          <w:sz w:val="28"/>
          <w:szCs w:val="28"/>
        </w:rPr>
        <w:t xml:space="preserve">, </w:t>
      </w:r>
      <w:r w:rsidR="00807DD2" w:rsidRPr="002F2E89">
        <w:rPr>
          <w:rFonts w:ascii="Times New Roman" w:hAnsi="Times New Roman" w:cs="Times New Roman"/>
          <w:sz w:val="28"/>
          <w:szCs w:val="28"/>
        </w:rPr>
        <w:t xml:space="preserve">4, </w:t>
      </w:r>
      <w:r w:rsidR="005D467C" w:rsidRPr="002F2E89">
        <w:rPr>
          <w:rFonts w:ascii="Times New Roman" w:hAnsi="Times New Roman" w:cs="Times New Roman"/>
          <w:sz w:val="28"/>
          <w:szCs w:val="28"/>
        </w:rPr>
        <w:t>6</w:t>
      </w:r>
      <w:r w:rsidRPr="002F2E89">
        <w:rPr>
          <w:rFonts w:ascii="Times New Roman" w:hAnsi="Times New Roman" w:cs="Times New Roman"/>
          <w:sz w:val="28"/>
          <w:szCs w:val="28"/>
        </w:rPr>
        <w:t xml:space="preserve"> паспорта </w:t>
      </w:r>
      <w:r w:rsidR="005D467C" w:rsidRPr="002F2E89">
        <w:rPr>
          <w:rFonts w:ascii="Times New Roman" w:hAnsi="Times New Roman" w:cs="Times New Roman"/>
          <w:sz w:val="28"/>
          <w:szCs w:val="28"/>
        </w:rPr>
        <w:t>муниципальной программы изложить согласно приложению к настоящему постановлению.</w:t>
      </w:r>
    </w:p>
    <w:p w:rsidR="004F7DC7" w:rsidRPr="005E61ED" w:rsidRDefault="009D7D64"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7DC7" w:rsidRPr="005E61ED">
        <w:rPr>
          <w:rFonts w:ascii="Times New Roman" w:hAnsi="Times New Roman" w:cs="Times New Roman"/>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511E21" w:rsidRPr="005E61ED" w:rsidRDefault="00511E21" w:rsidP="00511E21">
      <w:pPr>
        <w:spacing w:after="0" w:line="240" w:lineRule="auto"/>
        <w:ind w:firstLine="709"/>
        <w:jc w:val="both"/>
        <w:rPr>
          <w:rFonts w:ascii="Times New Roman" w:hAnsi="Times New Roman" w:cs="Times New Roman"/>
          <w:sz w:val="28"/>
          <w:szCs w:val="28"/>
        </w:rPr>
      </w:pPr>
    </w:p>
    <w:p w:rsidR="00511E21" w:rsidRPr="005E61ED" w:rsidRDefault="00511E21" w:rsidP="00511E21">
      <w:pPr>
        <w:spacing w:after="0" w:line="240" w:lineRule="auto"/>
        <w:ind w:firstLine="709"/>
        <w:jc w:val="both"/>
        <w:rPr>
          <w:rFonts w:ascii="Times New Roman" w:hAnsi="Times New Roman" w:cs="Times New Roman"/>
          <w:sz w:val="28"/>
          <w:szCs w:val="28"/>
        </w:rPr>
      </w:pPr>
    </w:p>
    <w:p w:rsidR="00B6749B" w:rsidRPr="005E61ED" w:rsidRDefault="00FF2F1F" w:rsidP="00B6749B">
      <w:pPr>
        <w:spacing w:after="0" w:line="240" w:lineRule="auto"/>
        <w:jc w:val="both"/>
        <w:rPr>
          <w:rFonts w:ascii="Times New Roman" w:hAnsi="Times New Roman" w:cs="Times New Roman"/>
          <w:sz w:val="28"/>
          <w:szCs w:val="28"/>
        </w:rPr>
      </w:pPr>
      <w:r w:rsidRPr="005E61ED">
        <w:rPr>
          <w:rFonts w:ascii="Times New Roman" w:hAnsi="Times New Roman" w:cs="Times New Roman"/>
          <w:sz w:val="28"/>
          <w:szCs w:val="28"/>
        </w:rPr>
        <w:t>Г</w:t>
      </w:r>
      <w:r w:rsidR="00B6749B" w:rsidRPr="005E61ED">
        <w:rPr>
          <w:rFonts w:ascii="Times New Roman" w:hAnsi="Times New Roman" w:cs="Times New Roman"/>
          <w:sz w:val="28"/>
          <w:szCs w:val="28"/>
        </w:rPr>
        <w:t>лав</w:t>
      </w:r>
      <w:r w:rsidRPr="005E61ED">
        <w:rPr>
          <w:rFonts w:ascii="Times New Roman" w:hAnsi="Times New Roman" w:cs="Times New Roman"/>
          <w:sz w:val="28"/>
          <w:szCs w:val="28"/>
        </w:rPr>
        <w:t>а</w:t>
      </w:r>
      <w:r w:rsidR="00B6749B" w:rsidRPr="005E61ED">
        <w:rPr>
          <w:rFonts w:ascii="Times New Roman" w:hAnsi="Times New Roman" w:cs="Times New Roman"/>
          <w:sz w:val="28"/>
          <w:szCs w:val="28"/>
        </w:rPr>
        <w:t xml:space="preserve"> города Нефтеюганска                                 </w:t>
      </w:r>
      <w:r w:rsidR="004466CC" w:rsidRPr="005E61ED">
        <w:rPr>
          <w:rFonts w:ascii="Times New Roman" w:hAnsi="Times New Roman" w:cs="Times New Roman"/>
          <w:sz w:val="28"/>
          <w:szCs w:val="28"/>
        </w:rPr>
        <w:t xml:space="preserve">         </w:t>
      </w:r>
      <w:r w:rsidRPr="005E61ED">
        <w:rPr>
          <w:rFonts w:ascii="Times New Roman" w:hAnsi="Times New Roman" w:cs="Times New Roman"/>
          <w:sz w:val="28"/>
          <w:szCs w:val="28"/>
        </w:rPr>
        <w:t xml:space="preserve">                      </w:t>
      </w:r>
      <w:r w:rsidR="004466CC" w:rsidRPr="005E61ED">
        <w:rPr>
          <w:rFonts w:ascii="Times New Roman" w:hAnsi="Times New Roman" w:cs="Times New Roman"/>
          <w:sz w:val="28"/>
          <w:szCs w:val="28"/>
        </w:rPr>
        <w:t xml:space="preserve"> </w:t>
      </w:r>
      <w:r w:rsidRPr="005E61ED">
        <w:rPr>
          <w:rFonts w:ascii="Times New Roman" w:hAnsi="Times New Roman" w:cs="Times New Roman"/>
          <w:sz w:val="28"/>
          <w:szCs w:val="28"/>
        </w:rPr>
        <w:t>Ю.В.Чекунов</w:t>
      </w:r>
    </w:p>
    <w:p w:rsidR="00D93EB2" w:rsidRPr="005E61ED" w:rsidRDefault="00D93EB2" w:rsidP="00E27A8A">
      <w:pPr>
        <w:spacing w:after="0" w:line="240" w:lineRule="auto"/>
        <w:rPr>
          <w:rFonts w:ascii="Times New Roman" w:hAnsi="Times New Roman" w:cs="Times New Roman"/>
          <w:sz w:val="28"/>
          <w:szCs w:val="28"/>
        </w:rPr>
        <w:sectPr w:rsidR="00D93EB2" w:rsidRPr="005E61ED" w:rsidSect="00810D21">
          <w:headerReference w:type="default" r:id="rId10"/>
          <w:headerReference w:type="first" r:id="rId11"/>
          <w:pgSz w:w="11906" w:h="16838"/>
          <w:pgMar w:top="1134" w:right="567" w:bottom="1021" w:left="1701" w:header="709" w:footer="709" w:gutter="0"/>
          <w:cols w:space="708"/>
          <w:titlePg/>
          <w:docGrid w:linePitch="360"/>
        </w:sectPr>
      </w:pPr>
    </w:p>
    <w:p w:rsidR="005C4D41" w:rsidRPr="005E61ED"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lastRenderedPageBreak/>
        <w:t xml:space="preserve">Приложение </w:t>
      </w:r>
    </w:p>
    <w:p w:rsidR="005C4D41" w:rsidRPr="005E61ED"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t>к постановлению</w:t>
      </w:r>
    </w:p>
    <w:p w:rsidR="005C4D41" w:rsidRPr="005E61ED"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t>администрации города</w:t>
      </w:r>
    </w:p>
    <w:p w:rsidR="00541856" w:rsidRPr="005E61ED"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5E61ED">
        <w:rPr>
          <w:rFonts w:ascii="Times New Roman" w:eastAsia="Calibri" w:hAnsi="Times New Roman" w:cs="Times New Roman"/>
          <w:sz w:val="28"/>
          <w:szCs w:val="28"/>
          <w:lang w:eastAsia="ru-RU"/>
        </w:rPr>
        <w:t xml:space="preserve">от </w:t>
      </w:r>
      <w:r w:rsidR="00F363C0">
        <w:rPr>
          <w:rFonts w:ascii="Times New Roman" w:hAnsi="Times New Roman"/>
          <w:sz w:val="28"/>
          <w:szCs w:val="28"/>
        </w:rPr>
        <w:t>07.04.2025 № 363-п</w:t>
      </w:r>
    </w:p>
    <w:p w:rsidR="009640CD" w:rsidRPr="005E61ED" w:rsidRDefault="009640CD" w:rsidP="009640CD">
      <w:pPr>
        <w:spacing w:after="0" w:line="240" w:lineRule="auto"/>
        <w:jc w:val="right"/>
        <w:rPr>
          <w:rFonts w:ascii="Times New Roman" w:eastAsiaTheme="minorEastAsia" w:hAnsi="Times New Roman" w:cs="Times New Roman"/>
          <w:sz w:val="28"/>
          <w:szCs w:val="28"/>
          <w:lang w:eastAsia="ru-RU"/>
        </w:rPr>
      </w:pPr>
    </w:p>
    <w:p w:rsidR="005D6D85" w:rsidRDefault="005D6D85" w:rsidP="004844E9">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3</w:t>
      </w:r>
    </w:p>
    <w:p w:rsidR="00810EB6" w:rsidRDefault="00810EB6" w:rsidP="00810EB6">
      <w:pPr>
        <w:spacing w:after="0" w:line="240" w:lineRule="auto"/>
        <w:jc w:val="center"/>
        <w:rPr>
          <w:rFonts w:ascii="Times New Roman" w:eastAsiaTheme="minorEastAsia" w:hAnsi="Times New Roman" w:cs="Times New Roman"/>
          <w:sz w:val="28"/>
          <w:szCs w:val="28"/>
          <w:lang w:eastAsia="ru-RU"/>
        </w:rPr>
      </w:pPr>
      <w:r w:rsidRPr="00810EB6">
        <w:rPr>
          <w:rFonts w:ascii="Times New Roman" w:eastAsiaTheme="minorEastAsia" w:hAnsi="Times New Roman" w:cs="Times New Roman"/>
          <w:sz w:val="28"/>
          <w:szCs w:val="28"/>
          <w:lang w:eastAsia="ru-RU"/>
        </w:rPr>
        <w:t>Показатели муниципальной программы</w:t>
      </w:r>
    </w:p>
    <w:p w:rsidR="00810EB6" w:rsidRDefault="00810EB6" w:rsidP="00810EB6">
      <w:pPr>
        <w:spacing w:after="0" w:line="240" w:lineRule="auto"/>
        <w:jc w:val="center"/>
        <w:rPr>
          <w:rFonts w:ascii="Times New Roman" w:eastAsiaTheme="minorEastAsia" w:hAnsi="Times New Roman" w:cs="Times New Roman"/>
          <w:sz w:val="28"/>
          <w:szCs w:val="28"/>
          <w:lang w:eastAsia="ru-RU"/>
        </w:rPr>
      </w:pPr>
    </w:p>
    <w:tbl>
      <w:tblPr>
        <w:tblStyle w:val="a3"/>
        <w:tblW w:w="15228" w:type="dxa"/>
        <w:tblLayout w:type="fixed"/>
        <w:tblLook w:val="04A0" w:firstRow="1" w:lastRow="0" w:firstColumn="1" w:lastColumn="0" w:noHBand="0" w:noVBand="1"/>
      </w:tblPr>
      <w:tblGrid>
        <w:gridCol w:w="422"/>
        <w:gridCol w:w="1739"/>
        <w:gridCol w:w="928"/>
        <w:gridCol w:w="1050"/>
        <w:gridCol w:w="903"/>
        <w:gridCol w:w="804"/>
        <w:gridCol w:w="641"/>
        <w:gridCol w:w="709"/>
        <w:gridCol w:w="692"/>
        <w:gridCol w:w="696"/>
        <w:gridCol w:w="711"/>
        <w:gridCol w:w="711"/>
        <w:gridCol w:w="20"/>
        <w:gridCol w:w="2098"/>
        <w:gridCol w:w="20"/>
        <w:gridCol w:w="722"/>
        <w:gridCol w:w="1417"/>
        <w:gridCol w:w="850"/>
        <w:gridCol w:w="95"/>
      </w:tblGrid>
      <w:tr w:rsidR="005D6D85" w:rsidRPr="005D6D85" w:rsidTr="005D6D85">
        <w:trPr>
          <w:gridAfter w:val="1"/>
          <w:wAfter w:w="95" w:type="dxa"/>
          <w:trHeight w:val="660"/>
        </w:trPr>
        <w:tc>
          <w:tcPr>
            <w:tcW w:w="422" w:type="dxa"/>
            <w:vMerge w:val="restart"/>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п/п</w:t>
            </w:r>
          </w:p>
        </w:tc>
        <w:tc>
          <w:tcPr>
            <w:tcW w:w="1739" w:type="dxa"/>
            <w:vMerge w:val="restart"/>
            <w:hideMark/>
          </w:tcPr>
          <w:p w:rsidR="005D6D85" w:rsidRPr="005D6D85" w:rsidRDefault="005D6D85" w:rsidP="005D6D85">
            <w:pPr>
              <w:rPr>
                <w:rFonts w:ascii="Times New Roman" w:eastAsiaTheme="minorEastAsia" w:hAnsi="Times New Roman" w:cs="Times New Roman"/>
                <w:sz w:val="18"/>
                <w:szCs w:val="18"/>
                <w:lang w:eastAsia="ru-RU"/>
              </w:rPr>
            </w:pPr>
            <w:bookmarkStart w:id="0" w:name="RANGE!B2"/>
            <w:r w:rsidRPr="005D6D85">
              <w:rPr>
                <w:rFonts w:ascii="Times New Roman" w:eastAsiaTheme="minorEastAsia" w:hAnsi="Times New Roman" w:cs="Times New Roman"/>
                <w:sz w:val="18"/>
                <w:szCs w:val="18"/>
                <w:lang w:eastAsia="ru-RU"/>
              </w:rPr>
              <w:t>Наименование показателя</w:t>
            </w:r>
            <w:bookmarkEnd w:id="0"/>
          </w:p>
        </w:tc>
        <w:tc>
          <w:tcPr>
            <w:tcW w:w="928" w:type="dxa"/>
            <w:vMerge w:val="restart"/>
            <w:hideMark/>
          </w:tcPr>
          <w:p w:rsidR="005D6D85" w:rsidRPr="005D6D85" w:rsidRDefault="005D6D85" w:rsidP="005D6D85">
            <w:pPr>
              <w:rPr>
                <w:rFonts w:ascii="Times New Roman" w:eastAsiaTheme="minorEastAsia" w:hAnsi="Times New Roman" w:cs="Times New Roman"/>
                <w:sz w:val="18"/>
                <w:szCs w:val="18"/>
                <w:lang w:eastAsia="ru-RU"/>
              </w:rPr>
            </w:pPr>
            <w:bookmarkStart w:id="1" w:name="RANGE!C2"/>
            <w:r w:rsidRPr="005D6D85">
              <w:rPr>
                <w:rFonts w:ascii="Times New Roman" w:eastAsiaTheme="minorEastAsia" w:hAnsi="Times New Roman" w:cs="Times New Roman"/>
                <w:sz w:val="18"/>
                <w:szCs w:val="18"/>
                <w:lang w:eastAsia="ru-RU"/>
              </w:rPr>
              <w:t>Уровень показателя</w:t>
            </w:r>
            <w:bookmarkEnd w:id="1"/>
          </w:p>
        </w:tc>
        <w:tc>
          <w:tcPr>
            <w:tcW w:w="1050" w:type="dxa"/>
            <w:vMerge w:val="restart"/>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Признак возрастания/ убывания</w:t>
            </w:r>
          </w:p>
        </w:tc>
        <w:tc>
          <w:tcPr>
            <w:tcW w:w="903" w:type="dxa"/>
            <w:vMerge w:val="restart"/>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Единица измерения (по ОКЕИ)</w:t>
            </w:r>
          </w:p>
        </w:tc>
        <w:tc>
          <w:tcPr>
            <w:tcW w:w="1445" w:type="dxa"/>
            <w:gridSpan w:val="2"/>
            <w:hideMark/>
          </w:tcPr>
          <w:p w:rsidR="005D6D85" w:rsidRPr="005D6D85" w:rsidRDefault="005D6D85" w:rsidP="005D6D85">
            <w:pPr>
              <w:rPr>
                <w:rFonts w:ascii="Times New Roman" w:eastAsiaTheme="minorEastAsia" w:hAnsi="Times New Roman" w:cs="Times New Roman"/>
                <w:sz w:val="18"/>
                <w:szCs w:val="18"/>
                <w:lang w:eastAsia="ru-RU"/>
              </w:rPr>
            </w:pPr>
            <w:bookmarkStart w:id="2" w:name="RANGE!F2"/>
            <w:r w:rsidRPr="005D6D85">
              <w:rPr>
                <w:rFonts w:ascii="Times New Roman" w:eastAsiaTheme="minorEastAsia" w:hAnsi="Times New Roman" w:cs="Times New Roman"/>
                <w:sz w:val="18"/>
                <w:szCs w:val="18"/>
                <w:lang w:eastAsia="ru-RU"/>
              </w:rPr>
              <w:t>Базовое значение</w:t>
            </w:r>
            <w:bookmarkEnd w:id="2"/>
          </w:p>
        </w:tc>
        <w:tc>
          <w:tcPr>
            <w:tcW w:w="3539" w:type="dxa"/>
            <w:gridSpan w:val="6"/>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Значение показателя по годам</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bookmarkStart w:id="3" w:name="RANGE!M2"/>
            <w:r w:rsidRPr="005D6D85">
              <w:rPr>
                <w:rFonts w:ascii="Times New Roman" w:eastAsiaTheme="minorEastAsia" w:hAnsi="Times New Roman" w:cs="Times New Roman"/>
                <w:sz w:val="18"/>
                <w:szCs w:val="18"/>
                <w:lang w:eastAsia="ru-RU"/>
              </w:rPr>
              <w:t>Документ</w:t>
            </w:r>
            <w:bookmarkEnd w:id="3"/>
          </w:p>
        </w:tc>
        <w:tc>
          <w:tcPr>
            <w:tcW w:w="722" w:type="dxa"/>
            <w:hideMark/>
          </w:tcPr>
          <w:p w:rsidR="005D6D85" w:rsidRPr="005D6D85" w:rsidRDefault="005D6D85" w:rsidP="005D6D85">
            <w:pPr>
              <w:rPr>
                <w:rFonts w:ascii="Times New Roman" w:eastAsiaTheme="minorEastAsia" w:hAnsi="Times New Roman" w:cs="Times New Roman"/>
                <w:sz w:val="18"/>
                <w:szCs w:val="18"/>
                <w:lang w:eastAsia="ru-RU"/>
              </w:rPr>
            </w:pPr>
            <w:bookmarkStart w:id="4" w:name="RANGE!N2"/>
            <w:r w:rsidRPr="005D6D85">
              <w:rPr>
                <w:rFonts w:ascii="Times New Roman" w:eastAsiaTheme="minorEastAsia" w:hAnsi="Times New Roman" w:cs="Times New Roman"/>
                <w:sz w:val="18"/>
                <w:szCs w:val="18"/>
                <w:lang w:eastAsia="ru-RU"/>
              </w:rPr>
              <w:t>Ответственный за достижение показателя</w:t>
            </w:r>
            <w:bookmarkEnd w:id="4"/>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bookmarkStart w:id="5" w:name="RANGE!O2"/>
            <w:r w:rsidRPr="005D6D85">
              <w:rPr>
                <w:rFonts w:ascii="Times New Roman" w:eastAsiaTheme="minorEastAsia" w:hAnsi="Times New Roman" w:cs="Times New Roman"/>
                <w:sz w:val="18"/>
                <w:szCs w:val="18"/>
                <w:lang w:eastAsia="ru-RU"/>
              </w:rPr>
              <w:t>Связь с показателями национальных целей</w:t>
            </w:r>
            <w:bookmarkEnd w:id="5"/>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bookmarkStart w:id="6" w:name="RANGE!P2"/>
            <w:r w:rsidRPr="005D6D85">
              <w:rPr>
                <w:rFonts w:ascii="Times New Roman" w:eastAsiaTheme="minorEastAsia" w:hAnsi="Times New Roman" w:cs="Times New Roman"/>
                <w:sz w:val="18"/>
                <w:szCs w:val="18"/>
                <w:lang w:eastAsia="ru-RU"/>
              </w:rPr>
              <w:t>Информационная система</w:t>
            </w:r>
            <w:bookmarkEnd w:id="6"/>
          </w:p>
        </w:tc>
      </w:tr>
      <w:tr w:rsidR="005D6D85" w:rsidRPr="005D6D85" w:rsidTr="005D6D85">
        <w:trPr>
          <w:gridAfter w:val="1"/>
          <w:wAfter w:w="95" w:type="dxa"/>
          <w:trHeight w:val="383"/>
        </w:trPr>
        <w:tc>
          <w:tcPr>
            <w:tcW w:w="422" w:type="dxa"/>
            <w:vMerge/>
            <w:hideMark/>
          </w:tcPr>
          <w:p w:rsidR="005D6D85" w:rsidRPr="005D6D85" w:rsidRDefault="005D6D85" w:rsidP="005D6D85">
            <w:pPr>
              <w:rPr>
                <w:rFonts w:ascii="Times New Roman" w:eastAsiaTheme="minorEastAsia" w:hAnsi="Times New Roman" w:cs="Times New Roman"/>
                <w:sz w:val="18"/>
                <w:szCs w:val="18"/>
                <w:lang w:eastAsia="ru-RU"/>
              </w:rPr>
            </w:pPr>
          </w:p>
        </w:tc>
        <w:tc>
          <w:tcPr>
            <w:tcW w:w="1739" w:type="dxa"/>
            <w:vMerge/>
            <w:hideMark/>
          </w:tcPr>
          <w:p w:rsidR="005D6D85" w:rsidRPr="005D6D85" w:rsidRDefault="005D6D85" w:rsidP="005D6D85">
            <w:pPr>
              <w:rPr>
                <w:rFonts w:ascii="Times New Roman" w:eastAsiaTheme="minorEastAsia" w:hAnsi="Times New Roman" w:cs="Times New Roman"/>
                <w:sz w:val="18"/>
                <w:szCs w:val="18"/>
                <w:lang w:eastAsia="ru-RU"/>
              </w:rPr>
            </w:pPr>
          </w:p>
        </w:tc>
        <w:tc>
          <w:tcPr>
            <w:tcW w:w="928" w:type="dxa"/>
            <w:vMerge/>
            <w:hideMark/>
          </w:tcPr>
          <w:p w:rsidR="005D6D85" w:rsidRPr="005D6D85" w:rsidRDefault="005D6D85" w:rsidP="005D6D85">
            <w:pPr>
              <w:rPr>
                <w:rFonts w:ascii="Times New Roman" w:eastAsiaTheme="minorEastAsia" w:hAnsi="Times New Roman" w:cs="Times New Roman"/>
                <w:sz w:val="18"/>
                <w:szCs w:val="18"/>
                <w:lang w:eastAsia="ru-RU"/>
              </w:rPr>
            </w:pPr>
          </w:p>
        </w:tc>
        <w:tc>
          <w:tcPr>
            <w:tcW w:w="1050" w:type="dxa"/>
            <w:vMerge/>
            <w:hideMark/>
          </w:tcPr>
          <w:p w:rsidR="005D6D85" w:rsidRPr="005D6D85" w:rsidRDefault="005D6D85" w:rsidP="005D6D85">
            <w:pPr>
              <w:rPr>
                <w:rFonts w:ascii="Times New Roman" w:eastAsiaTheme="minorEastAsia" w:hAnsi="Times New Roman" w:cs="Times New Roman"/>
                <w:sz w:val="18"/>
                <w:szCs w:val="18"/>
                <w:lang w:eastAsia="ru-RU"/>
              </w:rPr>
            </w:pPr>
          </w:p>
        </w:tc>
        <w:tc>
          <w:tcPr>
            <w:tcW w:w="903" w:type="dxa"/>
            <w:vMerge/>
            <w:hideMark/>
          </w:tcPr>
          <w:p w:rsidR="005D6D85" w:rsidRPr="005D6D85" w:rsidRDefault="005D6D85" w:rsidP="005D6D85">
            <w:pPr>
              <w:rPr>
                <w:rFonts w:ascii="Times New Roman" w:eastAsiaTheme="minorEastAsia" w:hAnsi="Times New Roman" w:cs="Times New Roman"/>
                <w:sz w:val="18"/>
                <w:szCs w:val="18"/>
                <w:lang w:eastAsia="ru-RU"/>
              </w:rPr>
            </w:pP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значение</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год</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2024</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2025</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2026</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2027</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2028-2030</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p>
        </w:tc>
      </w:tr>
      <w:tr w:rsidR="005D6D85" w:rsidRPr="005D6D85" w:rsidTr="005D6D85">
        <w:trPr>
          <w:gridAfter w:val="1"/>
          <w:wAfter w:w="95" w:type="dxa"/>
          <w:trHeight w:val="30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4</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5</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7</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8</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11</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12</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13</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14</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15</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16</w:t>
            </w:r>
          </w:p>
        </w:tc>
      </w:tr>
      <w:tr w:rsidR="005D6D85" w:rsidRPr="005D6D85" w:rsidTr="005D6D85">
        <w:trPr>
          <w:trHeight w:val="300"/>
        </w:trPr>
        <w:tc>
          <w:tcPr>
            <w:tcW w:w="15228" w:type="dxa"/>
            <w:gridSpan w:val="19"/>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xml:space="preserve">Цель муниципальной программы </w:t>
            </w:r>
            <w:r w:rsidR="00414FB8">
              <w:rPr>
                <w:rFonts w:ascii="Times New Roman" w:eastAsiaTheme="minorEastAsia" w:hAnsi="Times New Roman" w:cs="Times New Roman"/>
                <w:sz w:val="18"/>
                <w:szCs w:val="18"/>
                <w:lang w:eastAsia="ru-RU"/>
              </w:rPr>
              <w:t>«</w:t>
            </w:r>
            <w:r w:rsidRPr="005D6D85">
              <w:rPr>
                <w:rFonts w:ascii="Times New Roman" w:eastAsiaTheme="minorEastAsia" w:hAnsi="Times New Roman" w:cs="Times New Roman"/>
                <w:sz w:val="18"/>
                <w:szCs w:val="18"/>
                <w:lang w:eastAsia="ru-RU"/>
              </w:rPr>
              <w:t>Создание условий для увеличения экономического потенциала города</w:t>
            </w:r>
            <w:r w:rsidR="00414FB8">
              <w:rPr>
                <w:rFonts w:ascii="Times New Roman" w:eastAsiaTheme="minorEastAsia" w:hAnsi="Times New Roman" w:cs="Times New Roman"/>
                <w:sz w:val="18"/>
                <w:szCs w:val="18"/>
                <w:lang w:eastAsia="ru-RU"/>
              </w:rPr>
              <w:t>»</w:t>
            </w:r>
          </w:p>
        </w:tc>
      </w:tr>
      <w:tr w:rsidR="005D6D85" w:rsidRPr="005D6D85" w:rsidTr="005D6D85">
        <w:trPr>
          <w:gridAfter w:val="1"/>
          <w:wAfter w:w="95" w:type="dxa"/>
          <w:trHeight w:val="150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bookmarkStart w:id="7" w:name="RANGE!A6"/>
            <w:r w:rsidRPr="005D6D85">
              <w:rPr>
                <w:rFonts w:ascii="Times New Roman" w:eastAsiaTheme="minorEastAsia" w:hAnsi="Times New Roman" w:cs="Times New Roman"/>
                <w:sz w:val="18"/>
                <w:szCs w:val="18"/>
                <w:lang w:eastAsia="ru-RU"/>
              </w:rPr>
              <w:t>1</w:t>
            </w:r>
            <w:bookmarkEnd w:id="7"/>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34</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37</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38</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39</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39</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40</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87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Обеспеченность населения торговой площадью, кв.м на 1000 жителей</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м</w:t>
            </w:r>
            <w:r w:rsidRPr="005D6D85">
              <w:rPr>
                <w:rFonts w:ascii="Times New Roman" w:eastAsiaTheme="minorEastAsia" w:hAnsi="Times New Roman" w:cs="Times New Roman"/>
                <w:sz w:val="18"/>
                <w:szCs w:val="18"/>
                <w:vertAlign w:val="superscript"/>
                <w:lang w:eastAsia="ru-RU"/>
              </w:rPr>
              <w:t>2</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998,0</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1025</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1045</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1070</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1080</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1090</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7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xml:space="preserve">Обеспеченность населения посадочными местами в организациях общественного </w:t>
            </w:r>
            <w:r w:rsidRPr="005D6D85">
              <w:rPr>
                <w:rFonts w:ascii="Times New Roman" w:eastAsiaTheme="minorEastAsia" w:hAnsi="Times New Roman" w:cs="Times New Roman"/>
                <w:sz w:val="18"/>
                <w:szCs w:val="18"/>
                <w:lang w:eastAsia="ru-RU"/>
              </w:rPr>
              <w:lastRenderedPageBreak/>
              <w:t>питания в общедоступной сети, единиц на 1000 жителей</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lastRenderedPageBreak/>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ед</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35</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36</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37</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38</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38</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39</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150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lastRenderedPageBreak/>
              <w:t>4</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ед</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34</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28</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30</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32</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33</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34</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2953"/>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5</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xml:space="preserve">Число субъектов малого и среднего предпринимательства, в том числе физических лиц, применяющих </w:t>
            </w:r>
            <w:r w:rsidR="00414FB8">
              <w:rPr>
                <w:rFonts w:ascii="Times New Roman" w:eastAsiaTheme="minorEastAsia" w:hAnsi="Times New Roman" w:cs="Times New Roman"/>
                <w:sz w:val="18"/>
                <w:szCs w:val="18"/>
                <w:lang w:eastAsia="ru-RU"/>
              </w:rPr>
              <w:t>«</w:t>
            </w:r>
            <w:r w:rsidRPr="005D6D85">
              <w:rPr>
                <w:rFonts w:ascii="Times New Roman" w:eastAsiaTheme="minorEastAsia" w:hAnsi="Times New Roman" w:cs="Times New Roman"/>
                <w:sz w:val="18"/>
                <w:szCs w:val="18"/>
                <w:lang w:eastAsia="ru-RU"/>
              </w:rPr>
              <w:t>Налог на профессиональный доход</w:t>
            </w:r>
            <w:r w:rsidR="00414FB8">
              <w:rPr>
                <w:rFonts w:ascii="Times New Roman" w:eastAsiaTheme="minorEastAsia" w:hAnsi="Times New Roman" w:cs="Times New Roman"/>
                <w:sz w:val="18"/>
                <w:szCs w:val="18"/>
                <w:lang w:eastAsia="ru-RU"/>
              </w:rPr>
              <w:t>»</w:t>
            </w:r>
            <w:r w:rsidRPr="005D6D85">
              <w:rPr>
                <w:rFonts w:ascii="Times New Roman" w:eastAsiaTheme="minorEastAsia" w:hAnsi="Times New Roman" w:cs="Times New Roman"/>
                <w:sz w:val="18"/>
                <w:szCs w:val="18"/>
                <w:lang w:eastAsia="ru-RU"/>
              </w:rPr>
              <w:t>, на 10 тыс. населения</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НП</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ед</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333,34</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410,1</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460,1</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510,1</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520,1</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560,1</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xml:space="preserve">Распоряжение Правительства Ханты-Мансийского АО - Югры от 15 марта 2013 г. N 92-рп </w:t>
            </w:r>
            <w:r w:rsidR="00414FB8">
              <w:rPr>
                <w:rFonts w:ascii="Times New Roman" w:eastAsiaTheme="minorEastAsia" w:hAnsi="Times New Roman" w:cs="Times New Roman"/>
                <w:sz w:val="18"/>
                <w:szCs w:val="18"/>
                <w:lang w:eastAsia="ru-RU"/>
              </w:rPr>
              <w:t>«</w:t>
            </w:r>
            <w:r w:rsidRPr="005D6D85">
              <w:rPr>
                <w:rFonts w:ascii="Times New Roman" w:eastAsiaTheme="minorEastAsia" w:hAnsi="Times New Roman" w:cs="Times New Roman"/>
                <w:sz w:val="18"/>
                <w:szCs w:val="18"/>
                <w:lang w:eastAsia="ru-RU"/>
              </w:rPr>
              <w:t>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rsidR="00414FB8">
              <w:rPr>
                <w:rFonts w:ascii="Times New Roman" w:eastAsiaTheme="minorEastAsia" w:hAnsi="Times New Roman" w:cs="Times New Roman"/>
                <w:sz w:val="18"/>
                <w:szCs w:val="18"/>
                <w:lang w:eastAsia="ru-RU"/>
              </w:rPr>
              <w:t>»</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xml:space="preserve">Количество самозанятых граждан, зафиксировавших свой статус, применяющих специальный налоговый режим </w:t>
            </w:r>
            <w:r w:rsidR="00414FB8">
              <w:rPr>
                <w:rFonts w:ascii="Times New Roman" w:eastAsiaTheme="minorEastAsia" w:hAnsi="Times New Roman" w:cs="Times New Roman"/>
                <w:sz w:val="18"/>
                <w:szCs w:val="18"/>
                <w:lang w:eastAsia="ru-RU"/>
              </w:rPr>
              <w:t>«</w:t>
            </w:r>
            <w:r w:rsidRPr="005D6D85">
              <w:rPr>
                <w:rFonts w:ascii="Times New Roman" w:eastAsiaTheme="minorEastAsia" w:hAnsi="Times New Roman" w:cs="Times New Roman"/>
                <w:sz w:val="18"/>
                <w:szCs w:val="18"/>
                <w:lang w:eastAsia="ru-RU"/>
              </w:rPr>
              <w:t>Налог на профессиональный доход</w:t>
            </w:r>
            <w:r w:rsidR="00414FB8">
              <w:rPr>
                <w:rFonts w:ascii="Times New Roman" w:eastAsiaTheme="minorEastAsia" w:hAnsi="Times New Roman" w:cs="Times New Roman"/>
                <w:sz w:val="18"/>
                <w:szCs w:val="18"/>
                <w:lang w:eastAsia="ru-RU"/>
              </w:rPr>
              <w:t>»</w:t>
            </w:r>
            <w:r w:rsidRPr="005D6D85">
              <w:rPr>
                <w:rFonts w:ascii="Times New Roman" w:eastAsiaTheme="minorEastAsia" w:hAnsi="Times New Roman" w:cs="Times New Roman"/>
                <w:sz w:val="18"/>
                <w:szCs w:val="18"/>
                <w:lang w:eastAsia="ru-RU"/>
              </w:rPr>
              <w:t xml:space="preserve"> (НПД) и получивших меры поддержки</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3139"/>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Доля среднесписочной численности занятых на малых и средних предприятиях в общей численности работающих</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НП</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32,0</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25</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26</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27</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27</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28</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xml:space="preserve">Распоряжение Правительства Ханты-Мансийского АО - Югры от 15 марта 2013 г. N 92-рп </w:t>
            </w:r>
            <w:r w:rsidR="00414FB8">
              <w:rPr>
                <w:rFonts w:ascii="Times New Roman" w:eastAsiaTheme="minorEastAsia" w:hAnsi="Times New Roman" w:cs="Times New Roman"/>
                <w:sz w:val="18"/>
                <w:szCs w:val="18"/>
                <w:lang w:eastAsia="ru-RU"/>
              </w:rPr>
              <w:t>«</w:t>
            </w:r>
            <w:r w:rsidRPr="005D6D85">
              <w:rPr>
                <w:rFonts w:ascii="Times New Roman" w:eastAsiaTheme="minorEastAsia" w:hAnsi="Times New Roman" w:cs="Times New Roman"/>
                <w:sz w:val="18"/>
                <w:szCs w:val="18"/>
                <w:lang w:eastAsia="ru-RU"/>
              </w:rPr>
              <w:t>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r w:rsidR="00414FB8">
              <w:rPr>
                <w:rFonts w:ascii="Times New Roman" w:eastAsiaTheme="minorEastAsia" w:hAnsi="Times New Roman" w:cs="Times New Roman"/>
                <w:sz w:val="18"/>
                <w:szCs w:val="18"/>
                <w:lang w:eastAsia="ru-RU"/>
              </w:rPr>
              <w:t>»</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Численность занятых в сфере малого и среднего</w:t>
            </w:r>
            <w:r w:rsidRPr="005D6D85">
              <w:rPr>
                <w:rFonts w:ascii="Times New Roman" w:eastAsiaTheme="minorEastAsia" w:hAnsi="Times New Roman" w:cs="Times New Roman"/>
                <w:sz w:val="18"/>
                <w:szCs w:val="18"/>
                <w:lang w:eastAsia="ru-RU"/>
              </w:rPr>
              <w:br/>
              <w:t>предпринимательства, включая индивидуальных</w:t>
            </w:r>
            <w:r w:rsidRPr="005D6D85">
              <w:rPr>
                <w:rFonts w:ascii="Times New Roman" w:eastAsiaTheme="minorEastAsia" w:hAnsi="Times New Roman" w:cs="Times New Roman"/>
                <w:sz w:val="18"/>
                <w:szCs w:val="18"/>
                <w:lang w:eastAsia="ru-RU"/>
              </w:rPr>
              <w:br/>
              <w:t>предпринимателей</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150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lastRenderedPageBreak/>
              <w:t>7</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90,8</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90,9</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91</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91,1</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91,1</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91,2</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2145"/>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8</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ед</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8</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8</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8</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Администрация города</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210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100</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100</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100</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100</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100</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100</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ДГиЗО</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70"/>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10</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Узнаваемость национального проекта</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90</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95</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96</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97</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97</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98</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xml:space="preserve">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w:t>
            </w:r>
            <w:r w:rsidRPr="005D6D85">
              <w:rPr>
                <w:rFonts w:ascii="Times New Roman" w:eastAsiaTheme="minorEastAsia" w:hAnsi="Times New Roman" w:cs="Times New Roman"/>
                <w:sz w:val="18"/>
                <w:szCs w:val="18"/>
                <w:lang w:eastAsia="ru-RU"/>
              </w:rPr>
              <w:lastRenderedPageBreak/>
              <w:t>24.06.2022</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lastRenderedPageBreak/>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r w:rsidR="005D6D85" w:rsidRPr="005D6D85" w:rsidTr="005D6D85">
        <w:trPr>
          <w:gridAfter w:val="1"/>
          <w:wAfter w:w="95" w:type="dxa"/>
          <w:trHeight w:val="2504"/>
        </w:trPr>
        <w:tc>
          <w:tcPr>
            <w:tcW w:w="42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lastRenderedPageBreak/>
              <w:t>11</w:t>
            </w:r>
          </w:p>
        </w:tc>
        <w:tc>
          <w:tcPr>
            <w:tcW w:w="173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928"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10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возрастание</w:t>
            </w:r>
          </w:p>
        </w:tc>
        <w:tc>
          <w:tcPr>
            <w:tcW w:w="903"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w:t>
            </w:r>
          </w:p>
        </w:tc>
        <w:tc>
          <w:tcPr>
            <w:tcW w:w="804"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60</w:t>
            </w:r>
          </w:p>
        </w:tc>
        <w:tc>
          <w:tcPr>
            <w:tcW w:w="64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2022</w:t>
            </w:r>
          </w:p>
        </w:tc>
        <w:tc>
          <w:tcPr>
            <w:tcW w:w="709"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61</w:t>
            </w:r>
          </w:p>
        </w:tc>
        <w:tc>
          <w:tcPr>
            <w:tcW w:w="692"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62</w:t>
            </w:r>
          </w:p>
        </w:tc>
        <w:tc>
          <w:tcPr>
            <w:tcW w:w="696"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63</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63</w:t>
            </w:r>
          </w:p>
        </w:tc>
        <w:tc>
          <w:tcPr>
            <w:tcW w:w="711"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64</w:t>
            </w:r>
          </w:p>
        </w:tc>
        <w:tc>
          <w:tcPr>
            <w:tcW w:w="2118"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Перечень поручений Губернатора Ханты-Мансийского АО - Югры по итогам рабочего совещания по вопросу проектирования системы стратегического целеполагания Ханты-Мансийского АО - Югры в сфере внутренней политики от 24.06.2023</w:t>
            </w:r>
          </w:p>
        </w:tc>
        <w:tc>
          <w:tcPr>
            <w:tcW w:w="742" w:type="dxa"/>
            <w:gridSpan w:val="2"/>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ДЭР</w:t>
            </w:r>
          </w:p>
        </w:tc>
        <w:tc>
          <w:tcPr>
            <w:tcW w:w="1417"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c>
          <w:tcPr>
            <w:tcW w:w="850" w:type="dxa"/>
            <w:hideMark/>
          </w:tcPr>
          <w:p w:rsidR="005D6D85" w:rsidRPr="005D6D85" w:rsidRDefault="005D6D85" w:rsidP="005D6D85">
            <w:pPr>
              <w:rPr>
                <w:rFonts w:ascii="Times New Roman" w:eastAsiaTheme="minorEastAsia" w:hAnsi="Times New Roman" w:cs="Times New Roman"/>
                <w:sz w:val="18"/>
                <w:szCs w:val="18"/>
                <w:lang w:eastAsia="ru-RU"/>
              </w:rPr>
            </w:pPr>
            <w:r w:rsidRPr="005D6D85">
              <w:rPr>
                <w:rFonts w:ascii="Times New Roman" w:eastAsiaTheme="minorEastAsia" w:hAnsi="Times New Roman" w:cs="Times New Roman"/>
                <w:sz w:val="18"/>
                <w:szCs w:val="18"/>
                <w:lang w:eastAsia="ru-RU"/>
              </w:rPr>
              <w:t> </w:t>
            </w:r>
          </w:p>
        </w:tc>
      </w:tr>
    </w:tbl>
    <w:p w:rsidR="005D6D85" w:rsidRDefault="005D6D85" w:rsidP="005D6D85">
      <w:pPr>
        <w:spacing w:after="0" w:line="240" w:lineRule="auto"/>
        <w:rPr>
          <w:rFonts w:ascii="Times New Roman" w:eastAsiaTheme="minorEastAsia" w:hAnsi="Times New Roman" w:cs="Times New Roman"/>
          <w:sz w:val="28"/>
          <w:szCs w:val="28"/>
          <w:lang w:eastAsia="ru-RU"/>
        </w:rPr>
      </w:pPr>
    </w:p>
    <w:p w:rsidR="00414FB8" w:rsidRDefault="00414FB8" w:rsidP="004844E9">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rsidR="00414FB8" w:rsidRDefault="00414FB8" w:rsidP="00414FB8">
      <w:pPr>
        <w:spacing w:after="0" w:line="240" w:lineRule="auto"/>
        <w:jc w:val="center"/>
        <w:rPr>
          <w:rFonts w:ascii="Times New Roman" w:eastAsiaTheme="minorEastAsia" w:hAnsi="Times New Roman" w:cs="Times New Roman"/>
          <w:sz w:val="28"/>
          <w:szCs w:val="28"/>
          <w:lang w:eastAsia="ru-RU"/>
        </w:rPr>
      </w:pPr>
      <w:r w:rsidRPr="00414FB8">
        <w:rPr>
          <w:rFonts w:ascii="Times New Roman" w:eastAsiaTheme="minorEastAsia" w:hAnsi="Times New Roman" w:cs="Times New Roman"/>
          <w:sz w:val="28"/>
          <w:szCs w:val="28"/>
          <w:lang w:eastAsia="ru-RU"/>
        </w:rPr>
        <w:t>План достижения показателей муниципальной программы в 202</w:t>
      </w:r>
      <w:r>
        <w:rPr>
          <w:rFonts w:ascii="Times New Roman" w:eastAsiaTheme="minorEastAsia" w:hAnsi="Times New Roman" w:cs="Times New Roman"/>
          <w:sz w:val="28"/>
          <w:szCs w:val="28"/>
          <w:lang w:eastAsia="ru-RU"/>
        </w:rPr>
        <w:t>5</w:t>
      </w:r>
      <w:r w:rsidRPr="00414FB8">
        <w:rPr>
          <w:rFonts w:ascii="Times New Roman" w:eastAsiaTheme="minorEastAsia" w:hAnsi="Times New Roman" w:cs="Times New Roman"/>
          <w:sz w:val="28"/>
          <w:szCs w:val="28"/>
          <w:lang w:eastAsia="ru-RU"/>
        </w:rPr>
        <w:t xml:space="preserve"> году</w:t>
      </w:r>
    </w:p>
    <w:p w:rsidR="00414FB8" w:rsidRDefault="00414FB8" w:rsidP="00414FB8">
      <w:pPr>
        <w:spacing w:after="0" w:line="240" w:lineRule="auto"/>
        <w:jc w:val="center"/>
        <w:rPr>
          <w:rFonts w:ascii="Times New Roman" w:eastAsiaTheme="minorEastAsia" w:hAnsi="Times New Roman" w:cs="Times New Roman"/>
          <w:sz w:val="28"/>
          <w:szCs w:val="28"/>
          <w:lang w:eastAsia="ru-RU"/>
        </w:rPr>
      </w:pPr>
    </w:p>
    <w:tbl>
      <w:tblPr>
        <w:tblW w:w="15028" w:type="dxa"/>
        <w:tblInd w:w="113" w:type="dxa"/>
        <w:tblLook w:val="04A0" w:firstRow="1" w:lastRow="0" w:firstColumn="1" w:lastColumn="0" w:noHBand="0" w:noVBand="1"/>
      </w:tblPr>
      <w:tblGrid>
        <w:gridCol w:w="576"/>
        <w:gridCol w:w="3672"/>
        <w:gridCol w:w="1052"/>
        <w:gridCol w:w="1023"/>
        <w:gridCol w:w="673"/>
        <w:gridCol w:w="675"/>
        <w:gridCol w:w="679"/>
        <w:gridCol w:w="684"/>
        <w:gridCol w:w="670"/>
        <w:gridCol w:w="685"/>
        <w:gridCol w:w="684"/>
        <w:gridCol w:w="670"/>
        <w:gridCol w:w="672"/>
        <w:gridCol w:w="684"/>
        <w:gridCol w:w="673"/>
        <w:gridCol w:w="1247"/>
        <w:gridCol w:w="9"/>
      </w:tblGrid>
      <w:tr w:rsidR="00414FB8" w:rsidRPr="00414FB8" w:rsidTr="004A70E3">
        <w:trPr>
          <w:gridAfter w:val="1"/>
          <w:wAfter w:w="9" w:type="dxa"/>
          <w:trHeight w:val="525"/>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п/п</w:t>
            </w:r>
          </w:p>
        </w:tc>
        <w:tc>
          <w:tcPr>
            <w:tcW w:w="36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Цели/показатели</w:t>
            </w:r>
            <w:r w:rsidRPr="00414FB8">
              <w:rPr>
                <w:rFonts w:ascii="Times New Roman" w:eastAsia="Times New Roman" w:hAnsi="Times New Roman" w:cs="Times New Roman"/>
                <w:color w:val="000000"/>
                <w:sz w:val="18"/>
                <w:szCs w:val="18"/>
                <w:lang w:eastAsia="ru-RU"/>
              </w:rPr>
              <w:br/>
              <w:t>муниципальной программы</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Уровень показателя</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Единица измерения (по ОКЕИ)</w:t>
            </w:r>
          </w:p>
        </w:tc>
        <w:tc>
          <w:tcPr>
            <w:tcW w:w="7449" w:type="dxa"/>
            <w:gridSpan w:val="11"/>
            <w:tcBorders>
              <w:top w:val="single" w:sz="4" w:space="0" w:color="auto"/>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Плановые значения по месяцам</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На конец (указывается год) года</w:t>
            </w:r>
          </w:p>
        </w:tc>
      </w:tr>
      <w:tr w:rsidR="00414FB8" w:rsidRPr="00414FB8" w:rsidTr="004A70E3">
        <w:trPr>
          <w:gridAfter w:val="1"/>
          <w:wAfter w:w="9" w:type="dxa"/>
          <w:trHeight w:val="161"/>
        </w:trPr>
        <w:tc>
          <w:tcPr>
            <w:tcW w:w="576" w:type="dxa"/>
            <w:vMerge/>
            <w:tcBorders>
              <w:top w:val="single" w:sz="4" w:space="0" w:color="auto"/>
              <w:left w:val="single" w:sz="4" w:space="0" w:color="auto"/>
              <w:bottom w:val="single" w:sz="4" w:space="0" w:color="auto"/>
              <w:right w:val="single" w:sz="4" w:space="0" w:color="auto"/>
            </w:tcBorders>
            <w:vAlign w:val="center"/>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p>
        </w:tc>
        <w:tc>
          <w:tcPr>
            <w:tcW w:w="3672" w:type="dxa"/>
            <w:vMerge/>
            <w:tcBorders>
              <w:top w:val="single" w:sz="4" w:space="0" w:color="auto"/>
              <w:left w:val="single" w:sz="4" w:space="0" w:color="auto"/>
              <w:bottom w:val="single" w:sz="4" w:space="0" w:color="auto"/>
              <w:right w:val="single" w:sz="4" w:space="0" w:color="auto"/>
            </w:tcBorders>
            <w:vAlign w:val="center"/>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янв.</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фев.</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март</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апр.</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май</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июнь</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июль</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авг.</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сен.</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окт.</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ноя.</w:t>
            </w: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p>
        </w:tc>
      </w:tr>
      <w:tr w:rsidR="00414FB8" w:rsidRPr="00414FB8" w:rsidTr="004A70E3">
        <w:trPr>
          <w:trHeight w:val="3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w:t>
            </w:r>
          </w:p>
        </w:tc>
        <w:tc>
          <w:tcPr>
            <w:tcW w:w="14452" w:type="dxa"/>
            <w:gridSpan w:val="16"/>
            <w:tcBorders>
              <w:top w:val="single" w:sz="4" w:space="0" w:color="auto"/>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xml:space="preserve">Цель муниципальной программы </w:t>
            </w:r>
            <w:r>
              <w:rPr>
                <w:rFonts w:ascii="Times New Roman" w:eastAsia="Times New Roman" w:hAnsi="Times New Roman" w:cs="Times New Roman"/>
                <w:color w:val="000000"/>
                <w:sz w:val="18"/>
                <w:szCs w:val="18"/>
                <w:lang w:eastAsia="ru-RU"/>
              </w:rPr>
              <w:t>«</w:t>
            </w:r>
            <w:r w:rsidRPr="00414FB8">
              <w:rPr>
                <w:rFonts w:ascii="Times New Roman" w:eastAsia="Times New Roman" w:hAnsi="Times New Roman" w:cs="Times New Roman"/>
                <w:color w:val="000000"/>
                <w:sz w:val="18"/>
                <w:szCs w:val="18"/>
                <w:lang w:eastAsia="ru-RU"/>
              </w:rPr>
              <w:t>Создание условий для увеличения экономического потенциала города</w:t>
            </w:r>
            <w:r>
              <w:rPr>
                <w:rFonts w:ascii="Times New Roman" w:eastAsia="Times New Roman" w:hAnsi="Times New Roman" w:cs="Times New Roman"/>
                <w:color w:val="000000"/>
                <w:sz w:val="18"/>
                <w:szCs w:val="18"/>
                <w:lang w:eastAsia="ru-RU"/>
              </w:rPr>
              <w:t>»</w:t>
            </w:r>
          </w:p>
        </w:tc>
      </w:tr>
      <w:tr w:rsidR="00414FB8" w:rsidRPr="00414FB8" w:rsidTr="004A70E3">
        <w:trPr>
          <w:gridAfter w:val="1"/>
          <w:wAfter w:w="9" w:type="dxa"/>
          <w:trHeight w:val="681"/>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1.1.</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35,5</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36</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36,5</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38</w:t>
            </w:r>
          </w:p>
        </w:tc>
      </w:tr>
      <w:tr w:rsidR="00414FB8" w:rsidRPr="00414FB8" w:rsidTr="004A70E3">
        <w:trPr>
          <w:gridAfter w:val="1"/>
          <w:wAfter w:w="9" w:type="dxa"/>
          <w:trHeight w:val="140"/>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1.2.</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Обеспеченность населения торговой площадью, кв.м на 1000 жителей</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м2</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1000</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1010</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1015</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1045</w:t>
            </w:r>
          </w:p>
        </w:tc>
      </w:tr>
      <w:tr w:rsidR="00414FB8" w:rsidRPr="00414FB8" w:rsidTr="004A70E3">
        <w:trPr>
          <w:gridAfter w:val="1"/>
          <w:wAfter w:w="9" w:type="dxa"/>
          <w:trHeight w:val="699"/>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1.3.</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Обеспеченность населения посадочными местами в организациях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35</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36</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37</w:t>
            </w:r>
          </w:p>
        </w:tc>
      </w:tr>
      <w:tr w:rsidR="00414FB8" w:rsidRPr="00414FB8" w:rsidTr="004A70E3">
        <w:trPr>
          <w:gridAfter w:val="1"/>
          <w:wAfter w:w="9" w:type="dxa"/>
          <w:trHeight w:val="587"/>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1.4.</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Развитие услуги доставки готовых блюд организаций общественного питания в общедоступной сети, единиц на 1000 жителей</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25</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26</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27</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30</w:t>
            </w:r>
          </w:p>
        </w:tc>
      </w:tr>
      <w:tr w:rsidR="00414FB8" w:rsidRPr="00414FB8" w:rsidTr="004A70E3">
        <w:trPr>
          <w:gridAfter w:val="1"/>
          <w:wAfter w:w="9" w:type="dxa"/>
          <w:trHeight w:val="304"/>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1.5.</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xml:space="preserve">Число субъектов малого и среднего предпринимательства, в том числе физических лиц, применяющих </w:t>
            </w:r>
            <w:r>
              <w:rPr>
                <w:rFonts w:ascii="Times New Roman" w:eastAsia="Times New Roman" w:hAnsi="Times New Roman" w:cs="Times New Roman"/>
                <w:color w:val="000000"/>
                <w:sz w:val="18"/>
                <w:szCs w:val="18"/>
                <w:lang w:eastAsia="ru-RU"/>
              </w:rPr>
              <w:t>«</w:t>
            </w:r>
            <w:r w:rsidRPr="00414FB8">
              <w:rPr>
                <w:rFonts w:ascii="Times New Roman" w:eastAsia="Times New Roman" w:hAnsi="Times New Roman" w:cs="Times New Roman"/>
                <w:color w:val="000000"/>
                <w:sz w:val="18"/>
                <w:szCs w:val="18"/>
                <w:lang w:eastAsia="ru-RU"/>
              </w:rPr>
              <w:t>Налог на профессиональный доход</w:t>
            </w:r>
            <w:r>
              <w:rPr>
                <w:rFonts w:ascii="Times New Roman" w:eastAsia="Times New Roman" w:hAnsi="Times New Roman" w:cs="Times New Roman"/>
                <w:color w:val="000000"/>
                <w:sz w:val="18"/>
                <w:szCs w:val="18"/>
                <w:lang w:eastAsia="ru-RU"/>
              </w:rPr>
              <w:t>»</w:t>
            </w:r>
            <w:r w:rsidRPr="00414FB8">
              <w:rPr>
                <w:rFonts w:ascii="Times New Roman" w:eastAsia="Times New Roman" w:hAnsi="Times New Roman" w:cs="Times New Roman"/>
                <w:color w:val="000000"/>
                <w:sz w:val="18"/>
                <w:szCs w:val="18"/>
                <w:lang w:eastAsia="ru-RU"/>
              </w:rPr>
              <w:t xml:space="preserve">, на 10 тыс. </w:t>
            </w:r>
            <w:r w:rsidRPr="00414FB8">
              <w:rPr>
                <w:rFonts w:ascii="Times New Roman" w:eastAsia="Times New Roman" w:hAnsi="Times New Roman" w:cs="Times New Roman"/>
                <w:color w:val="000000"/>
                <w:sz w:val="18"/>
                <w:szCs w:val="18"/>
                <w:lang w:eastAsia="ru-RU"/>
              </w:rPr>
              <w:lastRenderedPageBreak/>
              <w:t>населения</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lastRenderedPageBreak/>
              <w:t>НП</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352,5</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371,7</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390,9</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460,1</w:t>
            </w:r>
          </w:p>
        </w:tc>
      </w:tr>
      <w:tr w:rsidR="00414FB8" w:rsidRPr="00414FB8" w:rsidTr="004A70E3">
        <w:trPr>
          <w:gridAfter w:val="1"/>
          <w:wAfter w:w="9" w:type="dxa"/>
          <w:trHeight w:val="451"/>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lastRenderedPageBreak/>
              <w:t>1.6.</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Доля среднесписочной численности занятых на малых и средних предприятиях в общей численности работающих</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НП</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24</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24,5</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26</w:t>
            </w:r>
          </w:p>
        </w:tc>
      </w:tr>
      <w:tr w:rsidR="00414FB8" w:rsidRPr="00414FB8" w:rsidTr="004A70E3">
        <w:trPr>
          <w:gridAfter w:val="1"/>
          <w:wAfter w:w="9" w:type="dxa"/>
          <w:trHeight w:val="477"/>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1.7.</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Доля потребительских споров, разрешенных в досудебном и внесудебном порядке, в общем количестве споров с участием потребителей</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90,6</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90,7</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90,8</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91</w:t>
            </w:r>
          </w:p>
        </w:tc>
      </w:tr>
      <w:tr w:rsidR="00414FB8" w:rsidRPr="00414FB8" w:rsidTr="004A70E3">
        <w:trPr>
          <w:gridAfter w:val="1"/>
          <w:wAfter w:w="9" w:type="dxa"/>
          <w:trHeight w:val="847"/>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1.8.</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Число получателей государственной поддержки сельскохозяйственного производства, рыбохозяйственного комплекса и деятельности по заготовке и переработке дикоросов</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ед</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7</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7</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7</w:t>
            </w:r>
          </w:p>
        </w:tc>
      </w:tr>
      <w:tr w:rsidR="00414FB8" w:rsidRPr="00414FB8" w:rsidTr="004A70E3">
        <w:trPr>
          <w:gridAfter w:val="1"/>
          <w:wAfter w:w="9" w:type="dxa"/>
          <w:trHeight w:val="508"/>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1.9.</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100</w:t>
            </w:r>
          </w:p>
        </w:tc>
      </w:tr>
      <w:tr w:rsidR="00414FB8" w:rsidRPr="00414FB8" w:rsidTr="004A70E3">
        <w:trPr>
          <w:gridAfter w:val="1"/>
          <w:wAfter w:w="9" w:type="dxa"/>
          <w:trHeight w:val="167"/>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1.10.</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Узнаваемость национального проекта</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95</w:t>
            </w:r>
          </w:p>
        </w:tc>
      </w:tr>
      <w:tr w:rsidR="00414FB8" w:rsidRPr="00414FB8" w:rsidTr="004A70E3">
        <w:trPr>
          <w:gridAfter w:val="1"/>
          <w:wAfter w:w="9" w:type="dxa"/>
          <w:trHeight w:val="1078"/>
        </w:trPr>
        <w:tc>
          <w:tcPr>
            <w:tcW w:w="576" w:type="dxa"/>
            <w:tcBorders>
              <w:top w:val="nil"/>
              <w:left w:val="single" w:sz="4" w:space="0" w:color="auto"/>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1.11.</w:t>
            </w:r>
          </w:p>
        </w:tc>
        <w:tc>
          <w:tcPr>
            <w:tcW w:w="3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c>
          <w:tcPr>
            <w:tcW w:w="105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 </w:t>
            </w:r>
          </w:p>
        </w:tc>
        <w:tc>
          <w:tcPr>
            <w:tcW w:w="102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9"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5"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0"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2"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84"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673"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w:t>
            </w:r>
          </w:p>
        </w:tc>
        <w:tc>
          <w:tcPr>
            <w:tcW w:w="1247" w:type="dxa"/>
            <w:tcBorders>
              <w:top w:val="nil"/>
              <w:left w:val="nil"/>
              <w:bottom w:val="single" w:sz="4" w:space="0" w:color="auto"/>
              <w:right w:val="single" w:sz="4" w:space="0" w:color="auto"/>
            </w:tcBorders>
            <w:shd w:val="clear" w:color="auto" w:fill="auto"/>
            <w:hideMark/>
          </w:tcPr>
          <w:p w:rsidR="00414FB8" w:rsidRPr="00414FB8" w:rsidRDefault="00414FB8" w:rsidP="00414FB8">
            <w:pPr>
              <w:spacing w:after="0" w:line="240" w:lineRule="auto"/>
              <w:jc w:val="center"/>
              <w:rPr>
                <w:rFonts w:ascii="Times New Roman" w:eastAsia="Times New Roman" w:hAnsi="Times New Roman" w:cs="Times New Roman"/>
                <w:color w:val="000000"/>
                <w:sz w:val="18"/>
                <w:szCs w:val="18"/>
                <w:lang w:eastAsia="ru-RU"/>
              </w:rPr>
            </w:pPr>
            <w:r w:rsidRPr="00414FB8">
              <w:rPr>
                <w:rFonts w:ascii="Times New Roman" w:eastAsia="Times New Roman" w:hAnsi="Times New Roman" w:cs="Times New Roman"/>
                <w:color w:val="000000"/>
                <w:sz w:val="18"/>
                <w:szCs w:val="18"/>
                <w:lang w:eastAsia="ru-RU"/>
              </w:rPr>
              <w:t>62</w:t>
            </w:r>
          </w:p>
        </w:tc>
      </w:tr>
    </w:tbl>
    <w:p w:rsidR="00414FB8" w:rsidRDefault="00414FB8" w:rsidP="00414FB8">
      <w:pPr>
        <w:spacing w:after="0" w:line="240" w:lineRule="auto"/>
        <w:rPr>
          <w:rFonts w:ascii="Times New Roman" w:eastAsiaTheme="minorEastAsia" w:hAnsi="Times New Roman" w:cs="Times New Roman"/>
          <w:sz w:val="28"/>
          <w:szCs w:val="28"/>
          <w:lang w:eastAsia="ru-RU"/>
        </w:rPr>
      </w:pPr>
    </w:p>
    <w:p w:rsidR="004844E9" w:rsidRPr="005E61ED" w:rsidRDefault="004844E9" w:rsidP="004844E9">
      <w:pPr>
        <w:spacing w:after="0" w:line="240" w:lineRule="auto"/>
        <w:jc w:val="right"/>
        <w:rPr>
          <w:rFonts w:ascii="Times New Roman" w:eastAsiaTheme="minorEastAsia" w:hAnsi="Times New Roman" w:cs="Times New Roman"/>
          <w:sz w:val="28"/>
          <w:szCs w:val="28"/>
          <w:lang w:eastAsia="ru-RU"/>
        </w:rPr>
      </w:pPr>
      <w:r w:rsidRPr="005E61ED">
        <w:rPr>
          <w:rFonts w:ascii="Times New Roman" w:eastAsiaTheme="minorEastAsia" w:hAnsi="Times New Roman" w:cs="Times New Roman"/>
          <w:sz w:val="28"/>
          <w:szCs w:val="28"/>
          <w:lang w:eastAsia="ru-RU"/>
        </w:rPr>
        <w:t xml:space="preserve">Таблица </w:t>
      </w:r>
      <w:r w:rsidR="005D467C" w:rsidRPr="005E61ED">
        <w:rPr>
          <w:rFonts w:ascii="Times New Roman" w:eastAsiaTheme="minorEastAsia" w:hAnsi="Times New Roman" w:cs="Times New Roman"/>
          <w:sz w:val="28"/>
          <w:szCs w:val="28"/>
          <w:lang w:eastAsia="ru-RU"/>
        </w:rPr>
        <w:t>6</w:t>
      </w:r>
    </w:p>
    <w:p w:rsidR="00EF088A" w:rsidRDefault="004F7DC7" w:rsidP="00A33766">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5E61ED">
        <w:rPr>
          <w:rFonts w:ascii="Times New Roman" w:eastAsia="Times New Roman" w:hAnsi="Times New Roman" w:cs="Times New Roman"/>
          <w:sz w:val="28"/>
          <w:szCs w:val="28"/>
          <w:lang w:eastAsia="ru-RU"/>
        </w:rPr>
        <w:t>Финансовое обеспечение муниципальной программы</w:t>
      </w:r>
    </w:p>
    <w:p w:rsidR="00330500" w:rsidRPr="009D7D64" w:rsidRDefault="00330500" w:rsidP="00A33766">
      <w:pPr>
        <w:widowControl w:val="0"/>
        <w:autoSpaceDE w:val="0"/>
        <w:autoSpaceDN w:val="0"/>
        <w:spacing w:after="0" w:line="240" w:lineRule="auto"/>
        <w:jc w:val="center"/>
        <w:outlineLvl w:val="1"/>
        <w:rPr>
          <w:rFonts w:ascii="Times New Roman" w:hAnsi="Times New Roman" w:cs="Times New Roman"/>
          <w:sz w:val="16"/>
          <w:szCs w:val="16"/>
        </w:rPr>
      </w:pP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141BDE" w:rsidRPr="00141BDE" w:rsidTr="00141BDE">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bookmarkStart w:id="8" w:name="RANGE!C1:J109"/>
            <w:r w:rsidRPr="00141BDE">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bookmarkEnd w:id="8"/>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141BDE" w:rsidRPr="00141BDE" w:rsidTr="00141BDE">
        <w:trPr>
          <w:trHeight w:val="81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2026</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2027</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2028-2030</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Всего</w:t>
            </w:r>
          </w:p>
        </w:tc>
      </w:tr>
      <w:tr w:rsidR="00141BDE" w:rsidRPr="00141BDE" w:rsidTr="00141BDE">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5</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6</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7</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lang w:eastAsia="ru-RU"/>
              </w:rPr>
            </w:pPr>
            <w:r w:rsidRPr="00141BDE">
              <w:rPr>
                <w:rFonts w:ascii="Times New Roman" w:eastAsia="Times New Roman" w:hAnsi="Times New Roman" w:cs="Times New Roman"/>
                <w:color w:val="000000"/>
                <w:lang w:eastAsia="ru-RU"/>
              </w:rPr>
              <w:t>8</w:t>
            </w:r>
          </w:p>
        </w:tc>
      </w:tr>
      <w:tr w:rsidR="00141BDE" w:rsidRPr="00141BDE" w:rsidTr="00141BDE">
        <w:trPr>
          <w:trHeight w:val="102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481 316,066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531 140,253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541 069,044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538 164,944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1 595 874,600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3 687 564,907   </w:t>
            </w:r>
          </w:p>
        </w:tc>
      </w:tr>
      <w:tr w:rsidR="00141BDE" w:rsidRPr="00141BDE" w:rsidTr="00141BDE">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lastRenderedPageBreak/>
              <w:t>Местный бюджет</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427 341,566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465 035,453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473 721,644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470 853,144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1 393 984,200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3 230 936,007   </w:t>
            </w:r>
          </w:p>
        </w:tc>
      </w:tr>
      <w:tr w:rsidR="00141BDE" w:rsidRPr="00141BDE" w:rsidTr="00141BDE">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387 353,200   </w:t>
            </w:r>
          </w:p>
        </w:tc>
      </w:tr>
      <w:tr w:rsidR="00141BDE" w:rsidRPr="00141BDE" w:rsidTr="00141BDE">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69 275,700   </w:t>
            </w:r>
          </w:p>
        </w:tc>
      </w:tr>
      <w:tr w:rsidR="00141BDE" w:rsidRPr="00141BDE" w:rsidTr="00141BDE">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7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479 680,462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530 235,253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539 769,044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536 864,944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1 591 974,600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3 678 524,303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425 705,962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464 130,453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472 421,644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469 553,144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1 390 084,200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3 221 895,403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387 353,200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69 275,700   </w:t>
            </w:r>
          </w:p>
        </w:tc>
      </w:tr>
      <w:tr w:rsidR="00141BDE" w:rsidRPr="00141BDE" w:rsidTr="009D7D64">
        <w:trPr>
          <w:trHeight w:val="260"/>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r>
      <w:tr w:rsidR="00141BDE" w:rsidRPr="00141BDE" w:rsidTr="009D7D64">
        <w:trPr>
          <w:trHeight w:val="112"/>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9 040,604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9 040,604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272"/>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141BDE" w:rsidRPr="00141BDE" w:rsidTr="009D7D64">
        <w:trPr>
          <w:trHeight w:val="116"/>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141BDE" w:rsidRPr="00141BDE" w:rsidTr="009D7D64">
        <w:trPr>
          <w:trHeight w:val="231"/>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582,000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58,200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523,800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108"/>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7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141BDE" w:rsidRPr="00141BDE" w:rsidTr="009D7D64">
        <w:trPr>
          <w:trHeight w:val="70"/>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9 435,100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3 032,800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6 402,300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137"/>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189"/>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lastRenderedPageBreak/>
              <w:t>1.3.Комплекс процессных мероприятий «Популяризация предпринимательства»</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420,000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420,000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32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224"/>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141BDE" w:rsidRPr="00141BDE" w:rsidTr="009D7D64">
        <w:trPr>
          <w:trHeight w:val="16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4 200,000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4 200,000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210"/>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141BDE" w:rsidRPr="00141BDE" w:rsidTr="009D7D64">
        <w:trPr>
          <w:trHeight w:val="139"/>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9 988,200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29 964,600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59 929,200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3 091,000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9 273,000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18 546,000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6 897,200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20 691,600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41 383,200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102"/>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141BDE" w:rsidRPr="00141BDE" w:rsidTr="00141BDE">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308 570,799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2 140 506,860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304 664,799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2 136 600,860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3 906,000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lastRenderedPageBreak/>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170"/>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lastRenderedPageBreak/>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779,104   </w:t>
            </w:r>
          </w:p>
        </w:tc>
      </w:tr>
      <w:tr w:rsidR="00141BDE" w:rsidRPr="00141BDE" w:rsidTr="00141BDE">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779,104   </w:t>
            </w:r>
          </w:p>
        </w:tc>
      </w:tr>
      <w:tr w:rsidR="00141BDE" w:rsidRPr="00141BDE" w:rsidTr="00141BDE">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183"/>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7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309 349,903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2 141 285,964   </w:t>
            </w:r>
          </w:p>
        </w:tc>
      </w:tr>
      <w:tr w:rsidR="00141BDE" w:rsidRPr="00141BDE" w:rsidTr="00141BDE">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305 443,903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306 599,073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310 244,444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308 416,944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2 137 379,964   </w:t>
            </w:r>
          </w:p>
        </w:tc>
      </w:tr>
      <w:tr w:rsidR="00141BDE" w:rsidRPr="00141BDE" w:rsidTr="00141BDE">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3 906,000   </w:t>
            </w:r>
          </w:p>
        </w:tc>
      </w:tr>
      <w:tr w:rsidR="00141BDE" w:rsidRPr="00141BDE" w:rsidTr="009D7D64">
        <w:trPr>
          <w:trHeight w:val="168"/>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172"/>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303"/>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12 539,599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12 539,599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469"/>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7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141BDE" w:rsidRPr="00141BDE" w:rsidTr="009D7D64">
        <w:trPr>
          <w:trHeight w:val="126"/>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1 045 176,909   </w:t>
            </w:r>
          </w:p>
        </w:tc>
      </w:tr>
      <w:tr w:rsidR="00141BDE" w:rsidRPr="00141BDE" w:rsidTr="009D7D64">
        <w:trPr>
          <w:trHeight w:val="70"/>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1 045 176,909   </w:t>
            </w:r>
          </w:p>
        </w:tc>
      </w:tr>
      <w:tr w:rsidR="00141BDE" w:rsidRPr="00141BDE" w:rsidTr="009D7D64">
        <w:trPr>
          <w:trHeight w:val="262"/>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238"/>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9D7D64">
        <w:trPr>
          <w:trHeight w:val="52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8 261,500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905,000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8 261,500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lastRenderedPageBreak/>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w:t>
            </w:r>
          </w:p>
        </w:tc>
      </w:tr>
      <w:tr w:rsidR="00141BDE" w:rsidRPr="00141BDE" w:rsidTr="009D7D64">
        <w:trPr>
          <w:trHeight w:val="35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141BDE" w:rsidRPr="00141BDE" w:rsidTr="009D7D64">
        <w:trPr>
          <w:trHeight w:val="197"/>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43 848,255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38 936,880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40 050,600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40 085,200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120 255,600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283 176,535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863,955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119,580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67,500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202,500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1 321,035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33 820,500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29 235,500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30 126,600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29 877,900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89 633,700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212 694,200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9 581,800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9 856,500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10 139,800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69 161,300   </w:t>
            </w:r>
          </w:p>
        </w:tc>
      </w:tr>
      <w:tr w:rsidR="00141BDE" w:rsidRPr="00141BDE" w:rsidTr="009D7D64">
        <w:trPr>
          <w:trHeight w:val="412"/>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114,400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114,400   </w:t>
            </w:r>
          </w:p>
        </w:tc>
      </w:tr>
      <w:tr w:rsidR="00141BDE" w:rsidRPr="00141BDE" w:rsidTr="009D7D64">
        <w:trPr>
          <w:trHeight w:val="363"/>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jc w:val="center"/>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b/>
                <w:bCs/>
                <w:color w:val="000000"/>
                <w:sz w:val="24"/>
                <w:szCs w:val="24"/>
                <w:lang w:eastAsia="ru-RU"/>
              </w:rPr>
            </w:pPr>
            <w:r w:rsidRPr="00141BDE">
              <w:rPr>
                <w:rFonts w:ascii="Times New Roman" w:eastAsia="Times New Roman" w:hAnsi="Times New Roman" w:cs="Times New Roman"/>
                <w:b/>
                <w:bCs/>
                <w:color w:val="000000"/>
                <w:sz w:val="24"/>
                <w:szCs w:val="24"/>
                <w:lang w:eastAsia="ru-RU"/>
              </w:rPr>
              <w:t xml:space="preserve">      122 443,700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122 443,700   </w:t>
            </w:r>
          </w:p>
        </w:tc>
      </w:tr>
      <w:tr w:rsidR="00141BDE" w:rsidRPr="00141BDE" w:rsidTr="00141BDE">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r w:rsidR="00141BDE" w:rsidRPr="00141BDE" w:rsidTr="00141BDE">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141BDE" w:rsidRPr="00141BDE" w:rsidRDefault="00141BDE" w:rsidP="00141BDE">
            <w:pPr>
              <w:spacing w:after="0" w:line="240" w:lineRule="auto"/>
              <w:rPr>
                <w:rFonts w:ascii="Times New Roman" w:eastAsia="Times New Roman" w:hAnsi="Times New Roman" w:cs="Times New Roman"/>
                <w:color w:val="000000"/>
                <w:sz w:val="24"/>
                <w:szCs w:val="24"/>
                <w:lang w:eastAsia="ru-RU"/>
              </w:rPr>
            </w:pPr>
            <w:r w:rsidRPr="00141BDE">
              <w:rPr>
                <w:rFonts w:ascii="Times New Roman" w:eastAsia="Times New Roman" w:hAnsi="Times New Roman" w:cs="Times New Roman"/>
                <w:color w:val="000000"/>
                <w:sz w:val="24"/>
                <w:szCs w:val="24"/>
                <w:lang w:eastAsia="ru-RU"/>
              </w:rPr>
              <w:t xml:space="preserve">                      -     </w:t>
            </w:r>
          </w:p>
        </w:tc>
      </w:tr>
    </w:tbl>
    <w:p w:rsidR="00A33766" w:rsidRPr="005E61ED"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p w:rsidR="00A33766" w:rsidRPr="005E61ED"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sectPr w:rsidR="00A33766" w:rsidRPr="005E61ED" w:rsidSect="00B07B28">
          <w:pgSz w:w="16838" w:h="11906" w:orient="landscape"/>
          <w:pgMar w:top="567" w:right="1134" w:bottom="1135" w:left="1134" w:header="709" w:footer="709" w:gutter="0"/>
          <w:cols w:space="708"/>
          <w:docGrid w:linePitch="360"/>
        </w:sectPr>
      </w:pPr>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bookmarkStart w:id="9" w:name="_GoBack"/>
      <w:bookmarkEnd w:id="9"/>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44" w:rsidRDefault="00A32544" w:rsidP="00B3333C">
      <w:pPr>
        <w:spacing w:after="0" w:line="240" w:lineRule="auto"/>
      </w:pPr>
      <w:r>
        <w:separator/>
      </w:r>
    </w:p>
  </w:endnote>
  <w:endnote w:type="continuationSeparator" w:id="0">
    <w:p w:rsidR="00A32544" w:rsidRDefault="00A32544"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44" w:rsidRDefault="00A32544" w:rsidP="00B3333C">
      <w:pPr>
        <w:spacing w:after="0" w:line="240" w:lineRule="auto"/>
      </w:pPr>
      <w:r>
        <w:separator/>
      </w:r>
    </w:p>
  </w:footnote>
  <w:footnote w:type="continuationSeparator" w:id="0">
    <w:p w:rsidR="00A32544" w:rsidRDefault="00A32544"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9D7D64" w:rsidRDefault="00595251">
        <w:pPr>
          <w:pStyle w:val="a4"/>
          <w:jc w:val="center"/>
        </w:pPr>
        <w:r>
          <w:fldChar w:fldCharType="begin"/>
        </w:r>
        <w:r>
          <w:instrText>PAGE   \* MERGEFORMAT</w:instrText>
        </w:r>
        <w:r>
          <w:fldChar w:fldCharType="separate"/>
        </w:r>
        <w:r w:rsidR="0055675E">
          <w:rPr>
            <w:noProof/>
          </w:rPr>
          <w:t>12</w:t>
        </w:r>
        <w:r>
          <w:rPr>
            <w:noProof/>
          </w:rPr>
          <w:fldChar w:fldCharType="end"/>
        </w:r>
      </w:p>
    </w:sdtContent>
  </w:sdt>
  <w:p w:rsidR="009D7D64" w:rsidRDefault="009D7D6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64" w:rsidRDefault="009D7D64">
    <w:pPr>
      <w:pStyle w:val="a4"/>
      <w:jc w:val="center"/>
    </w:pPr>
  </w:p>
  <w:p w:rsidR="009D7D64" w:rsidRDefault="009D7D6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6494"/>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7D9"/>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221"/>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514"/>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437"/>
    <w:rsid w:val="00126C23"/>
    <w:rsid w:val="001304BF"/>
    <w:rsid w:val="00136AE2"/>
    <w:rsid w:val="00140C87"/>
    <w:rsid w:val="00141B3F"/>
    <w:rsid w:val="00141BDE"/>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2E89"/>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500"/>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4FB8"/>
    <w:rsid w:val="00416CF8"/>
    <w:rsid w:val="00417091"/>
    <w:rsid w:val="00420481"/>
    <w:rsid w:val="00420873"/>
    <w:rsid w:val="00420879"/>
    <w:rsid w:val="00422216"/>
    <w:rsid w:val="004235D6"/>
    <w:rsid w:val="004247FF"/>
    <w:rsid w:val="00427D30"/>
    <w:rsid w:val="00431E9F"/>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96BB8"/>
    <w:rsid w:val="004A2CA8"/>
    <w:rsid w:val="004A2D47"/>
    <w:rsid w:val="004A4915"/>
    <w:rsid w:val="004A5865"/>
    <w:rsid w:val="004A6627"/>
    <w:rsid w:val="004A70E3"/>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5675E"/>
    <w:rsid w:val="005613FE"/>
    <w:rsid w:val="00561F78"/>
    <w:rsid w:val="005632A3"/>
    <w:rsid w:val="00565F4A"/>
    <w:rsid w:val="005661E3"/>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251"/>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D6D85"/>
    <w:rsid w:val="005E0DEA"/>
    <w:rsid w:val="005E47AF"/>
    <w:rsid w:val="005E5BDF"/>
    <w:rsid w:val="005E61ED"/>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2A64"/>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7E6"/>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83917"/>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5DEA"/>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07DD2"/>
    <w:rsid w:val="00810060"/>
    <w:rsid w:val="0081044C"/>
    <w:rsid w:val="00810D21"/>
    <w:rsid w:val="00810EB6"/>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A7109"/>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D7D64"/>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544"/>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71"/>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238C"/>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47DA"/>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2E78"/>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0D8F"/>
    <w:rsid w:val="00D210C9"/>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03E8"/>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4DF4"/>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805"/>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A7FC5"/>
    <w:rsid w:val="00EB0046"/>
    <w:rsid w:val="00EB0BC5"/>
    <w:rsid w:val="00EB1BED"/>
    <w:rsid w:val="00EB2851"/>
    <w:rsid w:val="00EB2981"/>
    <w:rsid w:val="00EB3D73"/>
    <w:rsid w:val="00EB4C29"/>
    <w:rsid w:val="00EB5DF4"/>
    <w:rsid w:val="00EB625A"/>
    <w:rsid w:val="00EB707B"/>
    <w:rsid w:val="00EC0292"/>
    <w:rsid w:val="00EC32A7"/>
    <w:rsid w:val="00EC48E4"/>
    <w:rsid w:val="00EC5155"/>
    <w:rsid w:val="00EC5581"/>
    <w:rsid w:val="00ED0E0E"/>
    <w:rsid w:val="00ED246A"/>
    <w:rsid w:val="00ED25E0"/>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3C0"/>
    <w:rsid w:val="00F365CC"/>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341C"/>
    <w:rsid w:val="00FD6750"/>
    <w:rsid w:val="00FE38F5"/>
    <w:rsid w:val="00FE3CD7"/>
    <w:rsid w:val="00FE4659"/>
    <w:rsid w:val="00FE4D7F"/>
    <w:rsid w:val="00FE549F"/>
    <w:rsid w:val="00FE6D27"/>
    <w:rsid w:val="00FF0842"/>
    <w:rsid w:val="00FF0902"/>
    <w:rsid w:val="00FF1797"/>
    <w:rsid w:val="00FF2F1F"/>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10546"/>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6756458">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286934831">
      <w:bodyDiv w:val="1"/>
      <w:marLeft w:val="0"/>
      <w:marRight w:val="0"/>
      <w:marTop w:val="0"/>
      <w:marBottom w:val="0"/>
      <w:divBdr>
        <w:top w:val="none" w:sz="0" w:space="0" w:color="auto"/>
        <w:left w:val="none" w:sz="0" w:space="0" w:color="auto"/>
        <w:bottom w:val="none" w:sz="0" w:space="0" w:color="auto"/>
        <w:right w:val="none" w:sz="0" w:space="0" w:color="auto"/>
      </w:divBdr>
    </w:div>
    <w:div w:id="288780606">
      <w:bodyDiv w:val="1"/>
      <w:marLeft w:val="0"/>
      <w:marRight w:val="0"/>
      <w:marTop w:val="0"/>
      <w:marBottom w:val="0"/>
      <w:divBdr>
        <w:top w:val="none" w:sz="0" w:space="0" w:color="auto"/>
        <w:left w:val="none" w:sz="0" w:space="0" w:color="auto"/>
        <w:bottom w:val="none" w:sz="0" w:space="0" w:color="auto"/>
        <w:right w:val="none" w:sz="0" w:space="0" w:color="auto"/>
      </w:divBdr>
    </w:div>
    <w:div w:id="290869478">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56291090">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31408689">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10597749">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52721807">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191456903">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270746273">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89713040">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15998963">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46162335">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5323408">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899629621">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40796458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B5F6A-98A7-400C-A17B-E874FFD5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13</Pages>
  <Words>4205</Words>
  <Characters>23971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Елизавета Александровна Кожевникова</cp:lastModifiedBy>
  <cp:revision>159</cp:revision>
  <cp:lastPrinted>2025-04-04T11:35:00Z</cp:lastPrinted>
  <dcterms:created xsi:type="dcterms:W3CDTF">2022-07-13T10:52:00Z</dcterms:created>
  <dcterms:modified xsi:type="dcterms:W3CDTF">2025-04-09T04:31:00Z</dcterms:modified>
</cp:coreProperties>
</file>