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40" w:line="259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Сообщение</w:t>
        <w:br/>
        <w:t>о возможном установлении публичного сервитута в целях</w:t>
        <w:br/>
        <w:t>размещения (эксплуатации) объекта электросетевого хозяйства</w:t>
        <w:br/>
        <w:t>регионального значения Ханты-Мансийского автономного округа -</w:t>
        <w:br/>
        <w:t>Югры «Воздушная линия электропередачи напряжением</w:t>
        <w:br/>
        <w:t>110кВ Пыть-Ях - Парус»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40" w:line="259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соответствии со статьей 39.42 Земельного кодекса Российской Федерации, в связи с ходатайством акционерного общества «Россети Тюмень», Департамент по управлению государственным имуществом Ханты-Мансийского автономного округа - Югры информирует о возможном установлении публичного сервитута с целью размещения (эксплуатации) объекта электросетевого хозяйства регионального значения Ханты-Мансийского автономного округа - Югры «Воздушная линия электропередачи напряжением 110кВ Пыть-Ях - Парус» на территории следующих муниципальных образований: Нефтеюганский район, г. Пыть- Ях, г. Нефтеюганск.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418" w:val="left"/>
        </w:tabs>
        <w:bidi w:val="0"/>
        <w:spacing w:before="0" w:after="0" w:line="257" w:lineRule="auto"/>
        <w:ind w:left="0" w:right="0" w:firstLine="72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Наименование уполномоченного органа, которым рассматривается ходатайство об установлении публичного сервитута.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40" w:line="257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Департамент по управлению государственным имуществом Ханты- Мансийского автономного округа - Югры.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418" w:val="left"/>
        </w:tabs>
        <w:bidi w:val="0"/>
        <w:spacing w:before="0" w:after="140" w:line="259" w:lineRule="auto"/>
        <w:ind w:left="0" w:right="0" w:firstLine="72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Цели установления публичного сервитута.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40" w:line="259" w:lineRule="auto"/>
        <w:ind w:left="0" w:right="0" w:firstLine="72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Размещение (эксплуатация) объекта электросетевого хозяйства регионального значения Ханты-Мансийского автономного округа - Югры «Воздушная линия электропередачи напряжением 110кВ Пыть-Ях - Парус».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418" w:val="left"/>
        </w:tabs>
        <w:bidi w:val="0"/>
        <w:spacing w:before="0" w:after="340" w:line="259" w:lineRule="auto"/>
        <w:ind w:left="0" w:right="0" w:firstLine="720"/>
        <w:jc w:val="both"/>
        <w:sectPr>
          <w:headerReference w:type="default" r:id="rId5"/>
          <w:footnotePr>
            <w:pos w:val="pageBottom"/>
            <w:numFmt w:val="decimal"/>
            <w:numRestart w:val="continuous"/>
          </w:footnotePr>
          <w:pgSz w:w="11900" w:h="16840"/>
          <w:pgMar w:top="1407" w:left="1505" w:right="1222" w:bottom="1407" w:header="0" w:footer="979" w:gutter="0"/>
          <w:pgNumType w:start="1"/>
          <w:cols w:space="720"/>
          <w:noEndnote/>
          <w:rtlGutter w:val="0"/>
          <w:docGrid w:linePitch="360"/>
        </w:sectPr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Адрес или иное описание местоположения земельного участка (участков), в отношении которого испрашивается публичный сервитут, кадастровые номера земельных участков (при их наличии), в отношении которых испрашивается публичный сервитут.</w:t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86:08:0000000:108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165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86:08:0000000:124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72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86:08:0000000:127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 Мамонтовское месторождение нефти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Воздушная линия электропередачи 6кВ ПС 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204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86:08:0000000:19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р-н Нефтеюганский Мамонтовское месторождение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Воздушная линия электропередачи 6 кВ закрытого распределительного устройства № 7</w:t>
            </w:r>
          </w:p>
        </w:tc>
      </w:tr>
      <w:tr>
        <w:trPr>
          <w:trHeight w:val="99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86:08:0000000:228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 АО, р-н Нефтеюганский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линии электропередач (под опоры)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15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86:08:0000000:30128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Усть-Балыкское месторождение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86:08:0000000:30129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Усть-Балыкское месторождение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86:08:0000000:30233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Усть-Балыкское месторождение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86:08:0000000:33042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Коммунальное обслуживание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86:08:0000000:33234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округ-Югра, Нефтеюганский р-н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- 6.1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86:08:0000000:33249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- 6.1</w:t>
            </w:r>
          </w:p>
        </w:tc>
      </w:tr>
      <w:tr>
        <w:trPr>
          <w:trHeight w:val="165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86:08:0000000:33477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Автомобильный транспорт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72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86:08:0000000:33805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межселенная территория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86:08:0000000:33961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межселенная территория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86:08:0000000:33964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межселенная территория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994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86:08:0000000:412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 АО, р-н Нефтеюганский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Автомобильный транспорт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15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86:08:0000000:440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 АО, р-н Нефтеюганский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86:08:0020902:1877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86:08:0020902:1878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86:08:0020902:1901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86:08:0020902:1902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86:08:0020902:204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165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86:08:0020902:2142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р-н. Нефтеюганский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«Для размещения воздушных линий электропередач»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72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153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86:08:0020902:2144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сельскохозяйственного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округ-Югра, Нефтеюганский район, на левом берегу протоки Юганская Обь, на берегу озера Сармас, ДПК «Заречный», уч.77/1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земельный участок, находящийся в составе дачного объединения</w:t>
            </w:r>
          </w:p>
        </w:tc>
      </w:tr>
      <w:tr>
        <w:trPr>
          <w:trHeight w:val="153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86:08:0020902:2177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сельскохозяйственного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округ-Югра, Нефтеюганский район, на левом берегу протоки Юганская Обь, на берегу озера Сармас, ДПК «Заречный», уч.77,77/1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земельный участок, находящийся в составе дачного объединения, для использования в садоводстве и огородничестве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86:08:0020902:2297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- Югра АО, Нефтеюганский р-н, Усть- Балыкское месторождение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демонтаж воздушных линий электропередач</w:t>
            </w:r>
          </w:p>
        </w:tc>
      </w:tr>
      <w:tr>
        <w:trPr>
          <w:trHeight w:val="2362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86:08:0020902:2299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 АО, р-н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Нефтеюганский, 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15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86:08:0020902:2301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сельскохозяйственного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на левом берегу протоки Юганская Обь, на берегу оз. Сармас, в районе ДПК «Заречный»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земельный участок, предназначенный для сельскохозяйственного использования</w:t>
            </w:r>
          </w:p>
        </w:tc>
      </w:tr>
      <w:tr>
        <w:trPr>
          <w:trHeight w:val="153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86:08:0020902:3178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запаса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район Нефтеюганский, в районе СНТ «Сармас», Усть-Балыкского месторождения нефти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сельскохозяйственного использования</w:t>
            </w:r>
          </w:p>
        </w:tc>
      </w:tr>
      <w:tr>
        <w:trPr>
          <w:trHeight w:val="98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86:08:0020902:3654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сельскохозяйственного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округ-Югра, Нефтеюганский район,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ДПК «Заречный», участок № 74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садоводство (код 1.5)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 АО, р-н Нефтеюганский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ПС-110 кВ «Парус»</w:t>
            </w:r>
          </w:p>
        </w:tc>
      </w:tr>
      <w:tr>
        <w:trPr>
          <w:trHeight w:val="98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86:08:0020902:4118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сельскохозяйственного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СНТ «Сармас», участок № 15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садоводство (код 1.5)</w:t>
            </w:r>
          </w:p>
        </w:tc>
      </w:tr>
      <w:tr>
        <w:trPr>
          <w:trHeight w:val="137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86:08:0020902:4191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Тюменская область, Ханты- Мансийский Автономный округ - Югра, Нефтеюганский район, Усть- 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использования</w:t>
            </w:r>
          </w:p>
        </w:tc>
      </w:tr>
      <w:tr>
        <w:trPr>
          <w:trHeight w:val="99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86:08:0020902:4195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Тюменская область, Ханты- Мансийский автономный округ - Югра, Нефтеюганский район, Усть- 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86:08:0020902:4197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39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86:08:0020902:4198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72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86:08:0020902:4200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Тюменская область,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181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86:08:0020902:4202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86:08:0020902:4207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193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86:08:0020902:4210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86:08:0020902:4211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86:08:0020902:4212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86:08:0020902:4213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86:08:0020902:4219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86:08:0020902:4297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Усть-Балыкское месторождение нефти, район куста 164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49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86:08:0020902:4306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Нефтеюганский район, Усть- Балыкское месторождение нефти, район куста 164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86:08:0020902:96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 Усть-Балыкское месторождение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86:08:0020904:11205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Автомобильный транспорт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20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округ - Югра, р-н Нефтеюганский, Нефтеюганский лесхоз, Нефтеюганское лесничество, эксплуатационные леса, защитные леса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86:08:0020904:12102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р-н. Нефтеюганский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размещения и эксплуатации опор: под опоры ВЛ 500 кВ «Сургутская ГРЭС-1-Пыть-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Ях» (опора №153)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86:08:0020904:12943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193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86:08:0020904:13310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both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86:08:0020904:13312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86:08:0020904:13329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р-н. Нефтеюганский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размещения воздушных линий электропередач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86:08:0020904:13356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р-н. Нефтеюганский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110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86:08:0020904:13365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для размещения сооружений энергетики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59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86:08:0020904:13382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Усть-Балыкское месторождение нефти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86:08:0020904:19707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- 6.1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86:08:0020904:19708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- 6.1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86:08:0020904:2092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20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округ - Югра, р-н Нефтеюганский,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 ЦДНГ 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- 6.1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86:08:0020904:22128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энергетика</w:t>
            </w:r>
          </w:p>
        </w:tc>
      </w:tr>
      <w:tr>
        <w:trPr>
          <w:trHeight w:val="193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86:08:0020904:22129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энергетика (код 6.7)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86:08:0020904:22130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энергетика (код 6.7)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86:08:0020904:22131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Мамонтовское месторождение нефти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энергетика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86:08:0020904:22132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Мамонтовское месторождение нефти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энергетика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69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86:08:0020904:22341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округ-Югра, Нефтеюганский район, Мамонтовское месторождение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ЦДНГ 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энергетика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 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86:08:0020904:22342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округ-Югра, Нефтеюганский район,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энергетика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86:08:0020904:22518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округ-Югра,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энергетика (код 6.7)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86:08:0020904:22725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межселенная территория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86:08:0020904:22733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20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округ - Югра, Нефтеюганский район, межселенная территория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86:08:0020904:22954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район, Нефтеюганское лесничество, Нефтеюганское участковое лесничество, Нефтеюганское урочище, квартал №16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энергетика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86:08:0020904:23089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193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86:08:0020904:23090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86:08:0020904:23124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86:08:0020904:23147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Нефтеюганский район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79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86:08:0020904:23430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Нефтеюганский район, межселенная территория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86:08:0020904:23434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Нефтеюганский район, межселенная территория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86:08:0020904:24656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Нефтеюганский район, межселенная территория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86:08:0020904:24657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Нефтеюганский район, межселенная территория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86:08:0020904:4150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 Усть-Балыкское месторождение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84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86:08:0020904:4183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20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округ - Югра, р-н. Нефтеюганский, тер. Усть-Балыкское месторождение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86:08:0020904:4193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Усть-Балыкское месторождение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86:08:0020904:4195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Усть-Балыкское месторождение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193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86:08:0020904:4213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р-н. Нефтеюганский, тер. Усть-Балыкское месторождение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2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86:08:0020904:457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месторождение Мамонтовское, куст скважин 251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86:08:0020904:458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Автодорога до куста № 338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86:08:0020904:483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Автодорога до куста № 458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86:08:0020904:492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тер Мамонтовское месторождение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ЦДНГ 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86:08:0020904:512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Автодорога до куста № 252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86:08:0020904:514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Автодорога до куста № 332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86:08:0020904:516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Автодорога до куста № 2ма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86:08:0020904:517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8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Автодорога до куста № 6м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208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округ - Югра, р-н Нефтеюганский,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86:08:0020904:518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86:08:0020904:520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Автодорога до куста № 19мб</w:t>
            </w:r>
          </w:p>
        </w:tc>
      </w:tr>
      <w:tr>
        <w:trPr>
          <w:trHeight w:val="193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00"/>
              <w:jc w:val="lef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98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86:08:0020904:521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 ЦДНГ 1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объекты и сооружения Мамонтовского месторождения нефти. Автодорога до куста № 15мб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99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86:08:0020904:522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86:08:0020904:523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ЦДНГ 1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Автодорога до куста № 15а</w:t>
            </w:r>
          </w:p>
        </w:tc>
      </w:tr>
      <w:tr>
        <w:trPr>
          <w:trHeight w:val="235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86:08:0020904:713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Мамонтовское месторождение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ЦДНГ 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 (код 6.1)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102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Нефтеюганский район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86:08:0020904:7203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р-н Нефтеюганский, 24 км автодороги Нефтеюганск- Пыть-Ях.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существующей подъездной автодорогой к полигону по обезвреживанию твердых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бытовых отходов</w:t>
            </w:r>
          </w:p>
        </w:tc>
      </w:tr>
      <w:tr>
        <w:trPr>
          <w:trHeight w:val="153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86:15:0101000:100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г. Пыть-Ях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строительство двухцепной воздушной линии электропередачи напряжением 35 кВ «Солнечная»</w:t>
            </w:r>
          </w:p>
        </w:tc>
      </w:tr>
      <w:tr>
        <w:trPr>
          <w:trHeight w:val="71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86:15:0101000:40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г. Пыть-Ях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линию электропередачи</w:t>
            </w:r>
          </w:p>
        </w:tc>
      </w:tr>
      <w:tr>
        <w:trPr>
          <w:trHeight w:val="71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86:15:0101000:42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г. Пыть-Ях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линию электропередачи</w:t>
            </w:r>
          </w:p>
        </w:tc>
      </w:tr>
      <w:tr>
        <w:trPr>
          <w:trHeight w:val="71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86:15:0101000:47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г. Пыть-Ях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линию электропередачи</w:t>
            </w:r>
          </w:p>
        </w:tc>
      </w:tr>
      <w:tr>
        <w:trPr>
          <w:trHeight w:val="12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86:15:0101007:122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г. Пыть-Ях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строительство производственной базы для стоянки спецтехники и хранения</w:t>
            </w:r>
          </w:p>
        </w:tc>
      </w:tr>
      <w:tr>
        <w:trPr>
          <w:trHeight w:val="98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86:15:0101007:153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г. Пыть-Ях, промзона «Северная»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электросетевой комплекс ПС 500 кВ «Пыть- Ях»</w:t>
            </w:r>
          </w:p>
        </w:tc>
      </w:tr>
      <w:tr>
        <w:trPr>
          <w:trHeight w:val="98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109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86:15:0101007:32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62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г. Пыть-Ях, Северная зона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ВЛ 110 кВ Пыть-Ях-Лосинка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86:15:0101007:49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ВЛ 110 кВ Пыть-Ях -</w:t>
            </w:r>
          </w:p>
        </w:tc>
      </w:tr>
    </w:tbl>
    <w:p>
      <w:pPr>
        <w:spacing w:lineRule="exact" w:line="1"/>
        <w:rPr>
          <w:sz w:val="2"/>
          <w:szCs w:val="2"/>
        </w:rPr>
      </w:pPr>
      <w:r>
        <w:br w:type="page"/>
      </w:r>
    </w:p>
    <w:tbl>
      <w:tblPr>
        <w:tblOverlap w:val="never"/>
        <w:jc w:val="center"/>
        <w:tblLayout w:type="fixed"/>
      </w:tblPr>
      <w:tblGrid>
        <w:gridCol w:w="566"/>
        <w:gridCol w:w="1776"/>
        <w:gridCol w:w="2448"/>
        <w:gridCol w:w="3264"/>
        <w:gridCol w:w="3686"/>
        <w:gridCol w:w="2981"/>
      </w:tblGrid>
      <w:tr>
        <w:trPr>
          <w:trHeight w:val="51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№</w:t>
            </w:r>
          </w:p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п/п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Муниципальное образование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Кадастровый номер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Категория земель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Адрес (местоположение)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Вид разрешенного использования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округ - Югра, г. Пыть-Ях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«Парус»</w:t>
            </w:r>
          </w:p>
        </w:tc>
      </w:tr>
      <w:tr>
        <w:trPr>
          <w:trHeight w:val="2357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86:15:0101007:782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Нефтеюганский р-н, межселенная территория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98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86:15:0101007:783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г Пыть-Ях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98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86:15:0101007:784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Российская Федерация, Ханты- Мансийский автономный округ - Югра, г Пыть-Ях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  <w:tr>
        <w:trPr>
          <w:trHeight w:val="98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Пыть-Ях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86:15:0101007:85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округ, Пыть-Ях, Северная промзона № 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производственную базу</w:t>
            </w:r>
          </w:p>
        </w:tc>
      </w:tr>
      <w:tr>
        <w:trPr>
          <w:trHeight w:val="98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Нефтеюганск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86:20:0000079:13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57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 АО, г Нефтеюганск, южная зона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100" w:after="0" w:line="264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под ВЛ-110 кВ Пыть-Ях - Парус</w:t>
            </w:r>
          </w:p>
        </w:tc>
      </w:tr>
      <w:tr>
        <w:trPr>
          <w:trHeight w:val="1267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116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г. Нефтеюганск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86:20:0000079:285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Земли населённых пунктов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Ханты-Мансийский автономный округ - Югра, г. Нефтеюганск, Усть- Балыкского месторождения нефти, в районе куста 5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8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center"/>
            </w:pPr>
            <w:r>
              <w:rPr>
                <w:color w:val="000000"/>
                <w:spacing w:val="0"/>
                <w:w w:val="100"/>
                <w:position w:val="0"/>
                <w:shd w:val="clear" w:color="auto" w:fill="auto"/>
                <w:lang w:val="ru-RU" w:eastAsia="ru-RU" w:bidi="ru-RU"/>
              </w:rPr>
              <w:t>Недропользование</w:t>
            </w:r>
          </w:p>
        </w:tc>
      </w:tr>
    </w:tbl>
    <w:p>
      <w:pPr>
        <w:sectPr>
          <w:headerReference w:type="default" r:id="rId6"/>
          <w:footnotePr>
            <w:pos w:val="pageBottom"/>
            <w:numFmt w:val="decimal"/>
            <w:numRestart w:val="continuous"/>
          </w:footnotePr>
          <w:pgSz w:w="16840" w:h="11900" w:orient="landscape"/>
          <w:pgMar w:top="1414" w:left="1201" w:right="918" w:bottom="1183" w:header="0" w:footer="755" w:gutter="0"/>
          <w:cols w:space="720"/>
          <w:noEndnote/>
          <w:rtlGutter w:val="0"/>
          <w:docGrid w:linePitch="360"/>
        </w:sectPr>
      </w:pP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416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Департаменте по управлению государственным имуществом Ханты-Мансийского автономного округа - Югры по адресу: г. Ханты- Мансийск, ул. Ленина, дом 54/1, время приема: понедельник, среда, пятница с 14.00 до 17.00.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Подать заявление об учёте прав на земельный участок, в отношении которого поступило ходатайство об установлении публичного сервитута, в течение 15 дней с момента публикации настоящего сообщения, заинтересованные лица могут: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line="240" w:lineRule="auto"/>
        <w:ind w:left="0" w:right="0" w:firstLine="7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в Департамент по управлению государственным имуществом Ханты- Мансийского автономного округа - Югры по адресу: г. Ханты-Мансийск, ул. Ленина, дом 54/1, или на адрес электронной почты</w:t>
      </w:r>
      <w:r>
        <w:fldChar w:fldCharType="begin"/>
      </w:r>
      <w:r>
        <w:rPr/>
        <w:instrText> HYPERLINK "mailto:dgs@admhmao.ru" </w:instrText>
      </w:r>
      <w:r>
        <w:fldChar w:fldCharType="separate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 xml:space="preserve"> </w:t>
      </w:r>
      <w:r>
        <w:rPr>
          <w:color w:val="0563C1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дд8@адтктао.ги</w:t>
      </w:r>
      <w:r>
        <w:fldChar w:fldCharType="end"/>
      </w: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;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416" w:val="left"/>
        </w:tabs>
        <w:bidi w:val="0"/>
        <w:spacing w:before="0" w:after="0" w:line="240" w:lineRule="auto"/>
        <w:ind w:left="0" w:right="0" w:firstLine="740"/>
        <w:jc w:val="both"/>
      </w:pPr>
      <w:r>
        <w:rPr>
          <w:b/>
          <w:bCs/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Официальные сайты в информационно</w:t>
        <w:softHyphen/>
        <w:t>телекоммуникационной сети «Интернет», на которых размещается сообщение о поступившем ходатайстве об установлении публичного сервитута.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967" w:val="left"/>
        </w:tabs>
        <w:bidi w:val="0"/>
        <w:spacing w:before="0" w:after="0" w:line="240" w:lineRule="auto"/>
        <w:ind w:left="0" w:right="0" w:firstLine="740"/>
        <w:jc w:val="both"/>
      </w:pPr>
      <w:r>
        <w:fldChar w:fldCharType="begin"/>
      </w:r>
      <w:r>
        <w:rPr/>
        <w:instrText> HYPERLINK "https://depgosim.admhmao.ru/" </w:instrText>
      </w:r>
      <w:r>
        <w:fldChar w:fldCharType="separate"/>
      </w:r>
      <w:r>
        <w:rPr>
          <w:color w:val="0563C1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111Ш://с1ерцом1п.ас11п1ипао.П|/</w:t>
      </w:r>
      <w:r>
        <w:fldChar w:fldCharType="end"/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967" w:val="left"/>
        </w:tabs>
        <w:bidi w:val="0"/>
        <w:spacing w:before="0" w:after="0" w:line="240" w:lineRule="auto"/>
        <w:ind w:left="0" w:right="0" w:firstLine="740"/>
        <w:jc w:val="both"/>
      </w:pPr>
      <w:r>
        <w:fldChar w:fldCharType="begin"/>
      </w:r>
      <w:r>
        <w:rPr/>
        <w:instrText> HYPERLINK "http://www.admoil.ru/" </w:instrText>
      </w:r>
      <w:r>
        <w:fldChar w:fldCharType="separate"/>
      </w:r>
      <w:r>
        <w:rPr>
          <w:color w:val="0563C1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кйрзУ/адтой.дозизШдЁги/</w:t>
      </w:r>
      <w:r>
        <w:fldChar w:fldCharType="end"/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967" w:val="left"/>
        </w:tabs>
        <w:bidi w:val="0"/>
        <w:spacing w:before="0" w:after="0" w:line="240" w:lineRule="auto"/>
        <w:ind w:left="0" w:right="0" w:firstLine="740"/>
        <w:jc w:val="both"/>
      </w:pPr>
      <w:r>
        <w:fldChar w:fldCharType="begin"/>
      </w:r>
      <w:r>
        <w:rPr/>
        <w:instrText> HYPERLINK "https://www.admugansk.ru/" </w:instrText>
      </w:r>
      <w:r>
        <w:fldChar w:fldCharType="separate"/>
      </w:r>
      <w:r>
        <w:rPr>
          <w:color w:val="0563C1"/>
          <w:spacing w:val="0"/>
          <w:w w:val="100"/>
          <w:position w:val="0"/>
          <w:u w:val="single"/>
          <w:shd w:val="clear" w:color="auto" w:fill="auto"/>
          <w:lang w:val="ru-RU" w:eastAsia="ru-RU" w:bidi="ru-RU"/>
        </w:rPr>
        <w:t>111Ш://\у\у\у.ас11П1|дап^к.П|/</w:t>
      </w:r>
      <w:r>
        <w:fldChar w:fldCharType="end"/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967" w:val="left"/>
        </w:tabs>
        <w:bidi w:val="0"/>
        <w:spacing w:before="0" w:after="640" w:line="240" w:lineRule="auto"/>
        <w:ind w:left="0" w:right="0" w:firstLine="740"/>
        <w:jc w:val="both"/>
      </w:pPr>
      <w:r>
        <w:fldChar w:fldCharType="begin"/>
      </w:r>
      <w:r>
        <w:rPr/>
        <w:instrText> HYPERLINK "https://adm.gov86.org/" </w:instrText>
      </w:r>
      <w:r>
        <w:fldChar w:fldCharType="separate"/>
      </w:r>
      <w:r>
        <w:rPr>
          <w:color w:val="0563C1"/>
          <w:spacing w:val="0"/>
          <w:w w:val="100"/>
          <w:position w:val="0"/>
          <w:shd w:val="clear" w:color="auto" w:fill="auto"/>
          <w:lang w:val="ru-RU" w:eastAsia="ru-RU" w:bidi="ru-RU"/>
        </w:rPr>
        <w:t>Ьйр87/айтдоу86огд/</w:t>
      </w:r>
      <w:r>
        <w:fldChar w:fldCharType="end"/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60" w:line="240" w:lineRule="auto"/>
        <w:ind w:left="0" w:right="0" w:firstLine="440"/>
        <w:jc w:val="both"/>
      </w:pPr>
      <w:r>
        <w:rPr>
          <w:color w:val="000000"/>
          <w:spacing w:val="0"/>
          <w:w w:val="100"/>
          <w:position w:val="0"/>
          <w:shd w:val="clear" w:color="auto" w:fill="auto"/>
          <w:lang w:val="ru-RU" w:eastAsia="ru-RU" w:bidi="ru-RU"/>
        </w:rPr>
        <w:t>Приложение: Описание местоположения границ публичного сервитута</w:t>
      </w:r>
    </w:p>
    <w:sectPr>
      <w:headerReference w:type="default" r:id="rId7"/>
      <w:footnotePr>
        <w:pos w:val="pageBottom"/>
        <w:numFmt w:val="decimal"/>
        <w:numRestart w:val="continuous"/>
      </w:footnotePr>
      <w:pgSz w:w="11900" w:h="16840"/>
      <w:pgMar w:top="1402" w:left="1505" w:right="1222" w:bottom="1402" w:header="0" w:footer="974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3823970</wp:posOffset>
              </wp:positionH>
              <wp:positionV relativeFrom="page">
                <wp:posOffset>476250</wp:posOffset>
              </wp:positionV>
              <wp:extent cx="88265" cy="158750"/>
              <wp:wrapNone/>
              <wp:docPr id="1" name="Shape 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88265" cy="15875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fldSimple w:instr=" PAGE \* MERGEFORMAT "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ru-RU" w:eastAsia="ru-RU" w:bidi="ru-RU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01.10000000000002pt;margin-top:37.5pt;width:6.9500000000000002pt;height:12.5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5346700</wp:posOffset>
              </wp:positionH>
              <wp:positionV relativeFrom="page">
                <wp:posOffset>474345</wp:posOffset>
              </wp:positionV>
              <wp:extent cx="179705" cy="158750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79705" cy="15875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fldSimple w:instr=" PAGE \* MERGEFORMAT "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ru-RU" w:eastAsia="ru-RU" w:bidi="ru-RU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9" type="#_x0000_t202" style="position:absolute;margin-left:421.pt;margin-top:37.350000000000001pt;width:14.15pt;height:12.5pt;z-index:-188744061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3781425</wp:posOffset>
              </wp:positionH>
              <wp:positionV relativeFrom="page">
                <wp:posOffset>476250</wp:posOffset>
              </wp:positionV>
              <wp:extent cx="176530" cy="158750"/>
              <wp:wrapNone/>
              <wp:docPr id="5" name="Shape 5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176530" cy="15875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5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fldSimple w:instr=" PAGE \* MERGEFORMAT "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  <w:sz w:val="28"/>
                                <w:szCs w:val="28"/>
                                <w:shd w:val="clear" w:color="auto" w:fill="auto"/>
                                <w:lang w:val="ru-RU" w:eastAsia="ru-RU" w:bidi="ru-RU"/>
                              </w:rPr>
                              <w:t>#</w:t>
                            </w:r>
                          </w:fldSimple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1" type="#_x0000_t202" style="position:absolute;margin-left:297.75pt;margin-top:37.5pt;width:13.9pt;height:12.5pt;z-index:-188744059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5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fldSimple w:instr=" PAGE \* MERGEFORMAT "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8"/>
                          <w:szCs w:val="28"/>
                          <w:shd w:val="clear" w:color="auto" w:fill="auto"/>
                          <w:lang w:val="ru-RU" w:eastAsia="ru-RU" w:bidi="ru-RU"/>
                        </w:rPr>
                        <w:t>#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abstractNum w:abstractNumId="2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</w:abstractNum>
  <w:num w:numId="1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default="1" w:styleId="DefaultParagraphFont">
    <w:name w:val="Default Paragraph Font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24"/>
      <w:szCs w:val="24"/>
      <w:shd w:val="clear" w:color="auto" w:fill="auto"/>
      <w:lang w:val="ru-RU" w:eastAsia="ru-RU" w:bidi="ru-RU"/>
    </w:rPr>
  </w:style>
  <w:style w:type="character" w:customStyle="1" w:styleId="CharStyle3">
    <w:name w:val="Основной текст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6">
    <w:name w:val="Колонтитул (2)_"/>
    <w:basedOn w:val="DefaultParagraphFont"/>
    <w:link w:val="Styl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9">
    <w:name w:val="Другое_"/>
    <w:basedOn w:val="DefaultParagraphFont"/>
    <w:link w:val="Styl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FFFFFF"/>
      <w:spacing w:after="320" w:line="247" w:lineRule="auto"/>
      <w:ind w:firstLine="40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Style5">
    <w:name w:val="Колонтитул (2)"/>
    <w:basedOn w:val="Normal"/>
    <w:link w:val="CharStyle6"/>
    <w:pPr>
      <w:widowControl w:val="0"/>
      <w:shd w:val="clear" w:color="auto" w:fill="FFFFFF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8">
    <w:name w:val="Другое"/>
    <w:basedOn w:val="Normal"/>
    <w:link w:val="CharStyle9"/>
    <w:pPr>
      <w:widowControl w:val="0"/>
      <w:shd w:val="clear" w:color="auto" w:fill="FFFFFF"/>
      <w:spacing w:line="259" w:lineRule="auto"/>
      <w:jc w:val="center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Белозерцев Олег Юрьевич</dc:creator>
  <cp:keywords/>
</cp:coreProperties>
</file>