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2B" w:rsidRDefault="00D27D2D" w:rsidP="00386FA2">
      <w:pPr>
        <w:pStyle w:val="Default"/>
        <w:ind w:firstLine="709"/>
        <w:jc w:val="center"/>
        <w:rPr>
          <w:b/>
          <w:sz w:val="28"/>
          <w:szCs w:val="28"/>
        </w:rPr>
      </w:pPr>
      <w:r w:rsidRPr="00386FA2">
        <w:rPr>
          <w:b/>
          <w:sz w:val="28"/>
          <w:szCs w:val="28"/>
        </w:rPr>
        <w:t xml:space="preserve">Доклад </w:t>
      </w:r>
    </w:p>
    <w:p w:rsidR="009837D4" w:rsidRDefault="00386FA2" w:rsidP="00386FA2">
      <w:pPr>
        <w:pStyle w:val="Default"/>
        <w:ind w:firstLine="709"/>
        <w:jc w:val="center"/>
        <w:rPr>
          <w:b/>
          <w:sz w:val="28"/>
          <w:szCs w:val="28"/>
        </w:rPr>
      </w:pPr>
      <w:r w:rsidRPr="00386FA2">
        <w:rPr>
          <w:b/>
          <w:sz w:val="28"/>
          <w:szCs w:val="28"/>
        </w:rPr>
        <w:t xml:space="preserve">главы муниципального образования город Нефтеюганск </w:t>
      </w:r>
      <w:r w:rsidR="000717E8">
        <w:rPr>
          <w:b/>
          <w:sz w:val="28"/>
          <w:szCs w:val="28"/>
        </w:rPr>
        <w:t>за 2020 год</w:t>
      </w:r>
    </w:p>
    <w:p w:rsidR="00D27D2D" w:rsidRDefault="009837D4" w:rsidP="00386FA2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D27D2D" w:rsidRPr="00386FA2">
        <w:rPr>
          <w:b/>
          <w:sz w:val="28"/>
          <w:szCs w:val="28"/>
        </w:rPr>
        <w:t>б антимонопольном комплаенсе</w:t>
      </w:r>
      <w:r>
        <w:rPr>
          <w:b/>
          <w:sz w:val="28"/>
          <w:szCs w:val="28"/>
        </w:rPr>
        <w:t>»</w:t>
      </w:r>
      <w:r w:rsidR="000717E8">
        <w:rPr>
          <w:b/>
          <w:sz w:val="28"/>
          <w:szCs w:val="28"/>
        </w:rPr>
        <w:t xml:space="preserve"> </w:t>
      </w:r>
    </w:p>
    <w:p w:rsidR="00A3655F" w:rsidRDefault="00A3655F" w:rsidP="00386FA2">
      <w:pPr>
        <w:pStyle w:val="Default"/>
        <w:ind w:firstLine="709"/>
        <w:jc w:val="center"/>
        <w:rPr>
          <w:b/>
          <w:sz w:val="28"/>
          <w:szCs w:val="28"/>
        </w:rPr>
      </w:pPr>
    </w:p>
    <w:p w:rsidR="00386FA2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  <w:r w:rsidRPr="00A3655F">
        <w:rPr>
          <w:b/>
          <w:sz w:val="28"/>
          <w:szCs w:val="28"/>
        </w:rPr>
        <w:t>Общие положения</w:t>
      </w:r>
    </w:p>
    <w:p w:rsidR="006E6B2F" w:rsidRPr="00A3655F" w:rsidRDefault="006E6B2F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AA26F7" w:rsidRDefault="00EA2F14" w:rsidP="00EA2F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В целях исполнения национального плана развития конкуренции в РФ на 2018-2020 годы, утвержденного </w:t>
      </w:r>
      <w:r w:rsidRPr="002015B4">
        <w:rPr>
          <w:sz w:val="28"/>
          <w:szCs w:val="20"/>
        </w:rPr>
        <w:t>Указ</w:t>
      </w:r>
      <w:r>
        <w:rPr>
          <w:sz w:val="28"/>
          <w:szCs w:val="20"/>
        </w:rPr>
        <w:t>ом</w:t>
      </w:r>
      <w:r w:rsidRPr="002015B4">
        <w:rPr>
          <w:sz w:val="28"/>
          <w:szCs w:val="20"/>
        </w:rPr>
        <w:t xml:space="preserve"> Президента Российской Федерации от 21.12.2017 №618 «Об основных направлениях государственной политики по развитию конкуренции»</w:t>
      </w:r>
      <w:r>
        <w:rPr>
          <w:sz w:val="28"/>
          <w:szCs w:val="20"/>
        </w:rPr>
        <w:t xml:space="preserve">, с учетом методических рекомендаций по созданию и </w:t>
      </w:r>
      <w:r w:rsidRPr="00224B9E">
        <w:rPr>
          <w:sz w:val="28"/>
          <w:szCs w:val="20"/>
        </w:rPr>
        <w:t>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sz w:val="28"/>
          <w:szCs w:val="20"/>
        </w:rPr>
        <w:t>, утвержденных р</w:t>
      </w:r>
      <w:r w:rsidRPr="00224B9E">
        <w:rPr>
          <w:sz w:val="28"/>
          <w:szCs w:val="20"/>
        </w:rPr>
        <w:t>аспоряжени</w:t>
      </w:r>
      <w:r>
        <w:rPr>
          <w:sz w:val="28"/>
          <w:szCs w:val="20"/>
        </w:rPr>
        <w:t xml:space="preserve">ем </w:t>
      </w:r>
      <w:r w:rsidRPr="00224B9E">
        <w:rPr>
          <w:sz w:val="28"/>
          <w:szCs w:val="20"/>
        </w:rPr>
        <w:t xml:space="preserve">Правительства РФ от 18.10.2018 </w:t>
      </w:r>
      <w:r>
        <w:rPr>
          <w:sz w:val="28"/>
          <w:szCs w:val="20"/>
        </w:rPr>
        <w:t xml:space="preserve">№ 2258-р, а также </w:t>
      </w:r>
      <w:r w:rsidRPr="00386FA2">
        <w:rPr>
          <w:sz w:val="28"/>
          <w:szCs w:val="28"/>
        </w:rPr>
        <w:t xml:space="preserve">организации функционирования антимонопольного комплаенса в администрации города </w:t>
      </w:r>
      <w:r w:rsidR="00E75CCD">
        <w:rPr>
          <w:sz w:val="28"/>
          <w:szCs w:val="28"/>
        </w:rPr>
        <w:t xml:space="preserve">Нефтеюганска </w:t>
      </w:r>
      <w:r w:rsidR="00AA26F7">
        <w:rPr>
          <w:sz w:val="28"/>
          <w:szCs w:val="28"/>
        </w:rPr>
        <w:t>осуществлены</w:t>
      </w:r>
      <w:r w:rsidRPr="00386FA2">
        <w:rPr>
          <w:sz w:val="28"/>
          <w:szCs w:val="28"/>
        </w:rPr>
        <w:t xml:space="preserve"> следующие </w:t>
      </w:r>
      <w:r w:rsidR="00AA26F7">
        <w:rPr>
          <w:sz w:val="28"/>
          <w:szCs w:val="28"/>
        </w:rPr>
        <w:t>мероприятия:</w:t>
      </w:r>
    </w:p>
    <w:p w:rsidR="00EA2F14" w:rsidRPr="009C33D2" w:rsidRDefault="00AA26F7" w:rsidP="00EA2F14">
      <w:pPr>
        <w:pStyle w:val="Default"/>
        <w:ind w:firstLine="709"/>
        <w:jc w:val="both"/>
        <w:rPr>
          <w:b/>
          <w:sz w:val="28"/>
          <w:szCs w:val="28"/>
        </w:rPr>
      </w:pPr>
      <w:r w:rsidRPr="009C33D2">
        <w:rPr>
          <w:b/>
          <w:sz w:val="28"/>
          <w:szCs w:val="28"/>
        </w:rPr>
        <w:t xml:space="preserve">1.Приняты </w:t>
      </w:r>
      <w:r w:rsidR="00EA2F14" w:rsidRPr="009C33D2">
        <w:rPr>
          <w:b/>
          <w:sz w:val="28"/>
          <w:szCs w:val="28"/>
        </w:rPr>
        <w:t>муниципальные правовые акты:</w:t>
      </w:r>
    </w:p>
    <w:p w:rsidR="00EA2F14" w:rsidRDefault="00EA2F14" w:rsidP="00EA2F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A2F14">
        <w:rPr>
          <w:sz w:val="28"/>
          <w:szCs w:val="28"/>
        </w:rPr>
        <w:t>Распоряжение администрации города Нефтеюганска от 11.04.2019 №97-р "Об определении уполномоченного органа, ответственного за реализацию соглашения о взаимодействии в системе антимонопольного комплаенса в Ханты-Мансийском автономном округе - Югре"</w:t>
      </w:r>
      <w:r>
        <w:rPr>
          <w:sz w:val="28"/>
          <w:szCs w:val="28"/>
        </w:rPr>
        <w:t>;</w:t>
      </w:r>
    </w:p>
    <w:p w:rsidR="00EA2F14" w:rsidRPr="00386FA2" w:rsidRDefault="00EA2F14" w:rsidP="00EA2F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A2F14">
        <w:rPr>
          <w:sz w:val="28"/>
          <w:szCs w:val="28"/>
        </w:rPr>
        <w:t>Распоряжение администрации города Нефтеюганска от 16.07.2019 №199-р "Об определении должностного лица, уполномоченного на взаимодействие с Департаментом экономического развития округа при организации системы внутреннего обеспечения соответствия требованиям антимонопольного законодательства"</w:t>
      </w:r>
      <w:r>
        <w:rPr>
          <w:sz w:val="28"/>
          <w:szCs w:val="28"/>
        </w:rPr>
        <w:t>;</w:t>
      </w:r>
    </w:p>
    <w:p w:rsidR="00AA26F7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 xml:space="preserve">  - Постановление администрации города Нефтеюганска от 16.04.2020 №594-п "Об утверждении Положения об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и органов администрации города Нефтеюганска (антимонопольного комплаенса)" (с изм. от 19.05.2020 №758-п); </w:t>
      </w:r>
    </w:p>
    <w:p w:rsidR="00EA2F14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 xml:space="preserve"> - Распоряжение администрации города Нефтеюганска от 23.04.2020 №99-р "Об утверждении перечня должностных лиц, ответственных за внедрение системы внутреннего обеспечения соответствия требованиям антимонопольного законодательства администрации города Нефтеюганска, органов администрации города Нефтеюганска (антимонопольного комплаенса)";</w:t>
      </w:r>
    </w:p>
    <w:p w:rsidR="00EA2F14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 xml:space="preserve"> - Распоряжение администрации города Нефтеюганска от 29.04.2020 №113-р "Об утверждении карты комплаенс-рисков в муниципальном образовании город Нефтеюганск на 2020 год";</w:t>
      </w:r>
    </w:p>
    <w:p w:rsidR="00EA2F14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>- Распоряжение администрации города Нефтеюганска от 29.05.2020 №137-р "Об утверждении Плана мероприятий по снижению рисков нарушения антимонопольного законодательства в муниципальном образовании город Нефтеюганск на 2020 год";</w:t>
      </w:r>
    </w:p>
    <w:p w:rsidR="00EA2F14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 xml:space="preserve">- Постановление администрации города Нефтеюганска от 20.04.2020 №604-п "Об определении категорий (групп) муниципальных нормативных правовых актов (и их проектов), подлежащих экспертизе на предмет соответствия </w:t>
      </w:r>
      <w:r w:rsidRPr="000752FB">
        <w:rPr>
          <w:sz w:val="28"/>
          <w:szCs w:val="28"/>
        </w:rPr>
        <w:lastRenderedPageBreak/>
        <w:t>антимонопольному законодательству в муниципальном образовании город Нефтеюганск" (с изм. от 13.07.2020 №1087-п; от 06.10.2020 №1712-п);</w:t>
      </w:r>
    </w:p>
    <w:p w:rsidR="00EA2F14" w:rsidRPr="000752FB" w:rsidRDefault="00EA2F14" w:rsidP="000752FB">
      <w:pPr>
        <w:pStyle w:val="Default"/>
        <w:ind w:firstLine="709"/>
        <w:jc w:val="both"/>
        <w:rPr>
          <w:sz w:val="28"/>
          <w:szCs w:val="28"/>
        </w:rPr>
      </w:pPr>
      <w:r w:rsidRPr="000752FB">
        <w:rPr>
          <w:sz w:val="28"/>
          <w:szCs w:val="28"/>
        </w:rPr>
        <w:t xml:space="preserve">  - Постановление администрации города Нефтеюганска от 31.08.2020 № 127-нп "Об утверждении Порядка осуществления экспертизы проектов муниципальных нормативных правовых актов администрации города Нефтеюганска и органов администрации города Нефтеюганска на предмет выявления положений, содержащих возможные риски нарушения антимонопольного законодательства деятельности администрации города Нефтеюганска и органов администрации города Нефтеюганска".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 xml:space="preserve">2.Разработан и исполнен </w:t>
      </w:r>
      <w:r w:rsidRPr="009C33D2">
        <w:rPr>
          <w:b/>
          <w:sz w:val="28"/>
          <w:szCs w:val="28"/>
        </w:rPr>
        <w:t>План мероприятий</w:t>
      </w:r>
      <w:r w:rsidRPr="00F21B8C">
        <w:rPr>
          <w:sz w:val="28"/>
          <w:szCs w:val="28"/>
        </w:rPr>
        <w:t xml:space="preserve"> по снижению рисков нарушения антимонопольного законодательства на 2020 год.</w:t>
      </w:r>
    </w:p>
    <w:p w:rsidR="00EA2F14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3.</w:t>
      </w:r>
      <w:r w:rsidR="00EA2F14" w:rsidRPr="00F21B8C">
        <w:rPr>
          <w:sz w:val="28"/>
          <w:szCs w:val="28"/>
        </w:rPr>
        <w:t xml:space="preserve">В структурных подразделениях и органах администрации города Нефтеюганска назначены </w:t>
      </w:r>
      <w:r w:rsidR="00EA2F14" w:rsidRPr="009C33D2">
        <w:rPr>
          <w:b/>
          <w:sz w:val="28"/>
          <w:szCs w:val="28"/>
        </w:rPr>
        <w:t xml:space="preserve">лица, ответственные за реализацию </w:t>
      </w:r>
      <w:r w:rsidR="00EA2F14" w:rsidRPr="00F21B8C">
        <w:rPr>
          <w:sz w:val="28"/>
          <w:szCs w:val="28"/>
        </w:rPr>
        <w:t xml:space="preserve">внутреннего обеспечения соответствия требованиям антимонопольного законодательства. 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4.На постоянной основе в 2020 году департамент экономического развития администрации города осуществлял: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-экспертизу проектов нормативных правовых актов на предмет соответствия требованиям антимонопольного законодательства;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-мониторинг и анализ практики применения антимонопольного законодательства;</w:t>
      </w:r>
    </w:p>
    <w:p w:rsidR="00AA26F7" w:rsidRPr="00F21B8C" w:rsidRDefault="00AA26F7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-консультирование муниципальных служащих по вопросам функционирования антимонопольного комплаенса.</w:t>
      </w:r>
    </w:p>
    <w:p w:rsidR="00AA26F7" w:rsidRPr="009C33D2" w:rsidRDefault="00AA26F7" w:rsidP="00F21B8C">
      <w:pPr>
        <w:pStyle w:val="Default"/>
        <w:ind w:firstLine="709"/>
        <w:jc w:val="both"/>
        <w:rPr>
          <w:b/>
          <w:sz w:val="28"/>
          <w:szCs w:val="28"/>
        </w:rPr>
      </w:pPr>
      <w:r w:rsidRPr="00F21B8C">
        <w:rPr>
          <w:sz w:val="28"/>
          <w:szCs w:val="28"/>
        </w:rPr>
        <w:t xml:space="preserve">5.Автоматизирован процесс экспертизы проектов нормативных правовых актов на предмет выявления возможных рисков нарушения антимонопольного законодательства с помощью специализированного программного обеспечения </w:t>
      </w:r>
      <w:r w:rsidRPr="009C33D2">
        <w:rPr>
          <w:b/>
          <w:sz w:val="28"/>
          <w:szCs w:val="28"/>
        </w:rPr>
        <w:t>"Кодекс".</w:t>
      </w:r>
    </w:p>
    <w:p w:rsidR="00386FA2" w:rsidRPr="00386FA2" w:rsidRDefault="00386FA2" w:rsidP="00386FA2">
      <w:pPr>
        <w:pStyle w:val="Default"/>
        <w:ind w:firstLine="709"/>
        <w:jc w:val="center"/>
        <w:rPr>
          <w:b/>
          <w:sz w:val="28"/>
          <w:szCs w:val="28"/>
        </w:rPr>
      </w:pPr>
    </w:p>
    <w:p w:rsidR="00D27D2D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  <w:r w:rsidRPr="00A3655F">
        <w:rPr>
          <w:b/>
          <w:sz w:val="28"/>
          <w:szCs w:val="28"/>
        </w:rPr>
        <w:t xml:space="preserve">Информация </w:t>
      </w:r>
      <w:r w:rsidR="00D27D2D" w:rsidRPr="00A3655F">
        <w:rPr>
          <w:b/>
          <w:sz w:val="28"/>
          <w:szCs w:val="28"/>
        </w:rPr>
        <w:t>о результатах проведенной оценки рисков нарушения в муниципальном образовании город Нефтеюганск антимонопольного законодательства</w:t>
      </w:r>
    </w:p>
    <w:p w:rsidR="00A61FEF" w:rsidRDefault="00A61FEF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E96784" w:rsidRPr="00F21B8C" w:rsidRDefault="00E96784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Департаментом экономического развития администрации города подведены итоги исполнения пунктов 4-7 Плана мероприятий по снижению рисков нарушения антимонопольного законодательства в автономном округе на 2020 год (утвержден постановлением Правительства Ханты-Мансийского автономного округа – Югры от 15.11.2019 №424-п) по городу Нефтеюганску за 2020 год.</w:t>
      </w:r>
    </w:p>
    <w:p w:rsidR="00E96784" w:rsidRPr="00F21B8C" w:rsidRDefault="00E96784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 xml:space="preserve">За отчетный период нарушений антимонопольного законодательства в проектах муниципальных НПА, разработанных структурными подразделениями администрации города, не выявлено. </w:t>
      </w:r>
    </w:p>
    <w:p w:rsidR="00A61FEF" w:rsidRPr="00F21B8C" w:rsidRDefault="00A61FEF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Осуществлена проверка 56 (</w:t>
      </w:r>
      <w:r w:rsidR="008A3BCA" w:rsidRPr="00F21B8C">
        <w:rPr>
          <w:sz w:val="28"/>
          <w:szCs w:val="28"/>
        </w:rPr>
        <w:t>пятидесяти</w:t>
      </w:r>
      <w:r w:rsidRPr="00F21B8C">
        <w:rPr>
          <w:sz w:val="28"/>
          <w:szCs w:val="28"/>
        </w:rPr>
        <w:t xml:space="preserve"> шест</w:t>
      </w:r>
      <w:r w:rsidR="008A3BCA" w:rsidRPr="00F21B8C">
        <w:rPr>
          <w:sz w:val="28"/>
          <w:szCs w:val="28"/>
        </w:rPr>
        <w:t>и</w:t>
      </w:r>
      <w:r w:rsidRPr="00F21B8C">
        <w:rPr>
          <w:sz w:val="28"/>
          <w:szCs w:val="28"/>
        </w:rPr>
        <w:t>) проектов нормативных правовых актов ОМСУ на соответствие требованиям антимонопольного законодательства (при их разработке), наличие/отсутствие риска возможного нарушения антимонопольного законодательства.</w:t>
      </w:r>
    </w:p>
    <w:p w:rsidR="000346A5" w:rsidRPr="00F21B8C" w:rsidRDefault="000346A5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 xml:space="preserve">Риски нарушения антимонопольного законодательства или положения, способствующие созданию условий для проведения таких рисков, при осуществлении проверки проектов нормативных правовых актов, разработанных </w:t>
      </w:r>
      <w:r w:rsidRPr="00F21B8C">
        <w:rPr>
          <w:sz w:val="28"/>
          <w:szCs w:val="28"/>
        </w:rPr>
        <w:lastRenderedPageBreak/>
        <w:t>ОМСУ, на соответствие требованиям антимонопольного законодательства, не выявлены.</w:t>
      </w:r>
    </w:p>
    <w:p w:rsidR="00A61FEF" w:rsidRPr="00F21B8C" w:rsidRDefault="00A61FEF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Проведена общественная экспертиза 56 (</w:t>
      </w:r>
      <w:r w:rsidR="008A3BCA" w:rsidRPr="00F21B8C">
        <w:rPr>
          <w:sz w:val="28"/>
          <w:szCs w:val="28"/>
        </w:rPr>
        <w:t>пятидесяти</w:t>
      </w:r>
      <w:r w:rsidRPr="00F21B8C">
        <w:rPr>
          <w:sz w:val="28"/>
          <w:szCs w:val="28"/>
        </w:rPr>
        <w:t xml:space="preserve"> шест</w:t>
      </w:r>
      <w:r w:rsidR="008A3BCA" w:rsidRPr="00F21B8C">
        <w:rPr>
          <w:sz w:val="28"/>
          <w:szCs w:val="28"/>
        </w:rPr>
        <w:t>и</w:t>
      </w:r>
      <w:r w:rsidRPr="00F21B8C">
        <w:rPr>
          <w:sz w:val="28"/>
          <w:szCs w:val="28"/>
        </w:rPr>
        <w:t xml:space="preserve">) проектов нормативных правовых актов ОМСУ на предмет возможного нарушения антимонопольного законодательства на интернет-портале для публичного обсуждения проектов и действующих нормативных правовых актов органов власти автономного округа, размещенном по адресу: </w:t>
      </w:r>
      <w:hyperlink r:id="rId4" w:history="1">
        <w:r w:rsidRPr="00E47DCA">
          <w:rPr>
            <w:sz w:val="28"/>
            <w:szCs w:val="28"/>
          </w:rPr>
          <w:t>http://regulation.admhmao.ru</w:t>
        </w:r>
      </w:hyperlink>
    </w:p>
    <w:p w:rsidR="00A3655F" w:rsidRPr="00F21B8C" w:rsidRDefault="00A3655F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 xml:space="preserve">По итогам общественного обсуждения нормативно-правовых актов ОМСУ рисков нарушения антимонопольного законодательства не выявлено. </w:t>
      </w:r>
    </w:p>
    <w:p w:rsidR="00A3655F" w:rsidRPr="00F21B8C" w:rsidRDefault="00A3655F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Предложения и замечания при обсуждении проектов не поступали.</w:t>
      </w:r>
    </w:p>
    <w:p w:rsidR="006577F0" w:rsidRDefault="006577F0" w:rsidP="00F21B8C">
      <w:pPr>
        <w:pStyle w:val="Default"/>
        <w:ind w:firstLine="709"/>
        <w:jc w:val="both"/>
        <w:rPr>
          <w:sz w:val="28"/>
          <w:szCs w:val="28"/>
        </w:rPr>
      </w:pPr>
    </w:p>
    <w:p w:rsidR="00A61FEF" w:rsidRDefault="00A61FEF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Осуществлена подготовка и внесение изменений в 2 (два) нормативно</w:t>
      </w:r>
      <w:r w:rsidR="0035423B" w:rsidRPr="00F21B8C">
        <w:rPr>
          <w:sz w:val="28"/>
          <w:szCs w:val="28"/>
        </w:rPr>
        <w:t>-</w:t>
      </w:r>
      <w:r w:rsidRPr="00F21B8C">
        <w:rPr>
          <w:sz w:val="28"/>
          <w:szCs w:val="28"/>
        </w:rPr>
        <w:t xml:space="preserve"> правовых акта, разработанных ОМСУ, при получении заключения о результатах экспертизы (анализа) нормативного правового акта на предмет наличия положений, содержащих риск нарушения антимонопольного законодательства от Деп</w:t>
      </w:r>
      <w:r w:rsidR="0035423B" w:rsidRPr="00F21B8C">
        <w:rPr>
          <w:sz w:val="28"/>
          <w:szCs w:val="28"/>
        </w:rPr>
        <w:t>артамента экономического развития ХМАО-</w:t>
      </w:r>
      <w:r w:rsidRPr="00F21B8C">
        <w:rPr>
          <w:sz w:val="28"/>
          <w:szCs w:val="28"/>
        </w:rPr>
        <w:t>Югры.</w:t>
      </w:r>
    </w:p>
    <w:p w:rsidR="00A4614D" w:rsidRDefault="00A4614D" w:rsidP="00F21B8C">
      <w:pPr>
        <w:pStyle w:val="Default"/>
        <w:ind w:firstLine="709"/>
        <w:jc w:val="both"/>
        <w:rPr>
          <w:sz w:val="28"/>
          <w:szCs w:val="28"/>
        </w:rPr>
      </w:pPr>
    </w:p>
    <w:p w:rsidR="00A3655F" w:rsidRPr="00A3655F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D27D2D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  <w:r w:rsidRPr="00A3655F">
        <w:rPr>
          <w:b/>
          <w:sz w:val="28"/>
          <w:szCs w:val="28"/>
        </w:rPr>
        <w:t xml:space="preserve">Информация </w:t>
      </w:r>
      <w:r w:rsidR="00D27D2D" w:rsidRPr="00A3655F">
        <w:rPr>
          <w:b/>
          <w:sz w:val="28"/>
          <w:szCs w:val="28"/>
        </w:rPr>
        <w:t>об исполнении мероприятий по снижению рисков нарушения в муниципальном образовании город Нефтеюганск ан</w:t>
      </w:r>
      <w:r w:rsidRPr="00A3655F">
        <w:rPr>
          <w:b/>
          <w:sz w:val="28"/>
          <w:szCs w:val="28"/>
        </w:rPr>
        <w:t>тимонопольного законодательства</w:t>
      </w:r>
    </w:p>
    <w:p w:rsidR="003D4EA1" w:rsidRDefault="003D4EA1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3D4EA1" w:rsidRPr="00F21B8C" w:rsidRDefault="003D4EA1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Департаментом экономического развития администрации города подведены итоги реализации мероприятий по снижению рисков нарушения антимонопольного законодательства в администрации города за 2020 год.</w:t>
      </w:r>
    </w:p>
    <w:p w:rsidR="003D4EA1" w:rsidRPr="00F21B8C" w:rsidRDefault="003D4EA1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План мероприятий по снижению рисков нарушения антимонопольного законодательства в администрации города Нефтеюганска на 2020 год утвержден распоряжением администрации города Нефтеюганска от 29.05.2020 №137-р.</w:t>
      </w:r>
    </w:p>
    <w:p w:rsidR="00DA5118" w:rsidRDefault="00990436" w:rsidP="00DA51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экономического развития </w:t>
      </w:r>
      <w:r w:rsidRPr="00F21B8C">
        <w:rPr>
          <w:sz w:val="28"/>
          <w:szCs w:val="28"/>
        </w:rPr>
        <w:t>администрации города в</w:t>
      </w:r>
      <w:r w:rsidR="00DA5118" w:rsidRPr="00DA5118">
        <w:rPr>
          <w:sz w:val="28"/>
          <w:szCs w:val="28"/>
        </w:rPr>
        <w:t xml:space="preserve"> </w:t>
      </w:r>
      <w:r w:rsidR="00341CD1">
        <w:rPr>
          <w:sz w:val="28"/>
          <w:szCs w:val="28"/>
        </w:rPr>
        <w:t xml:space="preserve">декабре </w:t>
      </w:r>
      <w:r w:rsidR="00DA5118" w:rsidRPr="00DA5118">
        <w:rPr>
          <w:sz w:val="28"/>
          <w:szCs w:val="28"/>
        </w:rPr>
        <w:t>2020 год</w:t>
      </w:r>
      <w:r w:rsidR="00341CD1">
        <w:rPr>
          <w:sz w:val="28"/>
          <w:szCs w:val="28"/>
        </w:rPr>
        <w:t>а</w:t>
      </w:r>
      <w:r w:rsidR="00DA5118" w:rsidRPr="00DA5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r w:rsidR="00DA5118" w:rsidRPr="00DA5118">
        <w:rPr>
          <w:sz w:val="28"/>
          <w:szCs w:val="28"/>
        </w:rPr>
        <w:t>обучение работников администрации города по вопро</w:t>
      </w:r>
      <w:r>
        <w:rPr>
          <w:sz w:val="28"/>
          <w:szCs w:val="28"/>
        </w:rPr>
        <w:t>сам антимонопольного комплаенса в очно-дистанционном формате.</w:t>
      </w:r>
    </w:p>
    <w:p w:rsidR="00990436" w:rsidRDefault="00990436" w:rsidP="00DA51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осуществляется консультирование сотрудников администрации по вопросам, связанным с соблюдением антимонопольного законодательства.</w:t>
      </w:r>
    </w:p>
    <w:p w:rsidR="000E79DF" w:rsidRDefault="000E79DF" w:rsidP="00DA511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E79DF">
        <w:rPr>
          <w:sz w:val="28"/>
          <w:szCs w:val="28"/>
        </w:rPr>
        <w:t>аботник</w:t>
      </w:r>
      <w:r>
        <w:rPr>
          <w:sz w:val="28"/>
          <w:szCs w:val="28"/>
        </w:rPr>
        <w:t>и</w:t>
      </w:r>
      <w:r w:rsidRPr="000E79DF">
        <w:rPr>
          <w:sz w:val="28"/>
          <w:szCs w:val="28"/>
        </w:rPr>
        <w:t xml:space="preserve"> структурных подразделений администрации города ознакомлены с Положением о системе внутреннего обеспечения соответствия требованиям антимонопольного законодательства в администрации города (антимонопольном комплаенсе) и обеспечивают его соблюдение</w:t>
      </w:r>
      <w:r>
        <w:rPr>
          <w:sz w:val="28"/>
          <w:szCs w:val="28"/>
        </w:rPr>
        <w:t>.</w:t>
      </w:r>
    </w:p>
    <w:p w:rsidR="000E79DF" w:rsidRPr="00DA5118" w:rsidRDefault="000E79DF" w:rsidP="00DA5118">
      <w:pPr>
        <w:pStyle w:val="Default"/>
        <w:ind w:firstLine="709"/>
        <w:jc w:val="both"/>
        <w:rPr>
          <w:sz w:val="28"/>
          <w:szCs w:val="28"/>
        </w:rPr>
      </w:pPr>
      <w:r w:rsidRPr="002D6489">
        <w:rPr>
          <w:sz w:val="28"/>
          <w:szCs w:val="28"/>
        </w:rPr>
        <w:t xml:space="preserve">В должностные инструкции работников структурных подразделений администрации города, деятельность которых связана с рисками нарушения антимонопольного законодательства, в частности с взаимодействием с хозяйствующими субъектами, организацией закупок, разработкой проектов муниципальных нормативных правовых актов, принятие которых может повлечь возможность нарушения антимонопольного законодательства, включено положение о необходимости соблюдения муниципального правового акта об организации функционирования системы внутреннего обеспечения соответствия </w:t>
      </w:r>
      <w:r w:rsidRPr="002D6489">
        <w:rPr>
          <w:sz w:val="28"/>
          <w:szCs w:val="28"/>
        </w:rPr>
        <w:lastRenderedPageBreak/>
        <w:t>требованиям антимонопольного законодательства в администрации города (антимонопольного комплаенса).</w:t>
      </w:r>
    </w:p>
    <w:p w:rsidR="00990436" w:rsidRPr="00F21B8C" w:rsidRDefault="00990436" w:rsidP="00F21B8C">
      <w:pPr>
        <w:pStyle w:val="Default"/>
        <w:ind w:firstLine="709"/>
        <w:jc w:val="both"/>
        <w:rPr>
          <w:sz w:val="28"/>
          <w:szCs w:val="28"/>
        </w:rPr>
      </w:pPr>
      <w:r w:rsidRPr="00F21B8C">
        <w:rPr>
          <w:sz w:val="28"/>
          <w:szCs w:val="28"/>
        </w:rPr>
        <w:t>В целях снижения рисков нарушения антимонопольного законодательства департаментом экономического развития администрации города Нефтеюганска осуществляются следующие мероприятия: анализ нарушений антимонопольного законодательства, в том числе анализ правовых позиций ФАС России и судебной практики, анализ действующих нормативных правовых актов, анализ и проведение предварительной экспертизы проектов нормативных правовых актов, в том числе принятие которых осуществляется во исполнение переданных муниципальному образованию отдельных государственных полномочий автономного округа, мониторинг и анализ практики применения антимонопольного законодательства.</w:t>
      </w:r>
    </w:p>
    <w:p w:rsidR="00A3655F" w:rsidRPr="00A3655F" w:rsidRDefault="00A3655F" w:rsidP="00A3655F">
      <w:pPr>
        <w:pStyle w:val="Default"/>
        <w:ind w:firstLine="709"/>
        <w:jc w:val="center"/>
        <w:rPr>
          <w:b/>
          <w:sz w:val="28"/>
          <w:szCs w:val="28"/>
        </w:rPr>
      </w:pPr>
    </w:p>
    <w:p w:rsidR="00D27D2D" w:rsidRPr="00CB4AA8" w:rsidRDefault="00A3655F" w:rsidP="00A3655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B4AA8">
        <w:rPr>
          <w:b/>
          <w:color w:val="auto"/>
          <w:sz w:val="28"/>
          <w:szCs w:val="28"/>
        </w:rPr>
        <w:t xml:space="preserve">Информация </w:t>
      </w:r>
      <w:r w:rsidR="00D27D2D" w:rsidRPr="00CB4AA8">
        <w:rPr>
          <w:b/>
          <w:color w:val="auto"/>
          <w:sz w:val="28"/>
          <w:szCs w:val="28"/>
        </w:rPr>
        <w:t>о достижении ключевых показателей эффективности антимонопольного комплаенса</w:t>
      </w:r>
    </w:p>
    <w:p w:rsidR="00A3655F" w:rsidRPr="00CB4AA8" w:rsidRDefault="00A3655F" w:rsidP="00A3655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B55A18" w:rsidRDefault="007F1ABA" w:rsidP="00D27D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Методикой расчета показателей функционирования в ХМАО-Югре антимонопольного комплаенса (приложение №3 к пр</w:t>
      </w:r>
      <w:r w:rsidR="008E7516">
        <w:rPr>
          <w:sz w:val="28"/>
          <w:szCs w:val="28"/>
        </w:rPr>
        <w:t>иказу Департамента экономическо</w:t>
      </w:r>
      <w:r>
        <w:rPr>
          <w:sz w:val="28"/>
          <w:szCs w:val="28"/>
        </w:rPr>
        <w:t xml:space="preserve">го развития ХМАО-Югры от 07.02.2019 №21), </w:t>
      </w:r>
      <w:r w:rsidR="00B55A18" w:rsidRPr="00321509">
        <w:rPr>
          <w:sz w:val="28"/>
          <w:szCs w:val="28"/>
        </w:rPr>
        <w:t xml:space="preserve">произведен расчет ключевых показателей эффективности антимонопольного комплаенса </w:t>
      </w:r>
      <w:r>
        <w:rPr>
          <w:sz w:val="28"/>
          <w:szCs w:val="28"/>
        </w:rPr>
        <w:t>п</w:t>
      </w:r>
      <w:r w:rsidRPr="00321509">
        <w:rPr>
          <w:sz w:val="28"/>
          <w:szCs w:val="28"/>
        </w:rPr>
        <w:t xml:space="preserve">о итогам 2020 года </w:t>
      </w:r>
      <w:r>
        <w:rPr>
          <w:sz w:val="28"/>
          <w:szCs w:val="28"/>
        </w:rPr>
        <w:t>по сравнению с 2019 годом:</w:t>
      </w:r>
    </w:p>
    <w:p w:rsidR="00341CD1" w:rsidRDefault="00341CD1" w:rsidP="00D27D2D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5"/>
        <w:gridCol w:w="2276"/>
        <w:gridCol w:w="1439"/>
        <w:gridCol w:w="1254"/>
        <w:gridCol w:w="1701"/>
        <w:gridCol w:w="1417"/>
      </w:tblGrid>
      <w:tr w:rsidR="00BB480E" w:rsidRPr="00BB480E" w:rsidTr="00BB480E">
        <w:tc>
          <w:tcPr>
            <w:tcW w:w="1817" w:type="dxa"/>
          </w:tcPr>
          <w:p w:rsidR="00BB480E" w:rsidRPr="00BB480E" w:rsidRDefault="00BB480E" w:rsidP="00D27D2D">
            <w:pPr>
              <w:pStyle w:val="Default"/>
              <w:jc w:val="both"/>
            </w:pPr>
            <w:r w:rsidRPr="00BB480E">
              <w:t>Обозначение показателя</w:t>
            </w:r>
          </w:p>
        </w:tc>
        <w:tc>
          <w:tcPr>
            <w:tcW w:w="2472" w:type="dxa"/>
          </w:tcPr>
          <w:p w:rsidR="00BB480E" w:rsidRPr="00BB480E" w:rsidRDefault="00BB480E" w:rsidP="00D27D2D">
            <w:pPr>
              <w:pStyle w:val="Default"/>
              <w:jc w:val="both"/>
            </w:pPr>
            <w:r w:rsidRPr="00BB480E">
              <w:t>Наименование показателя</w:t>
            </w:r>
          </w:p>
        </w:tc>
        <w:tc>
          <w:tcPr>
            <w:tcW w:w="1609" w:type="dxa"/>
          </w:tcPr>
          <w:p w:rsidR="00BB480E" w:rsidRPr="00BB480E" w:rsidRDefault="00BB480E" w:rsidP="00D27D2D">
            <w:pPr>
              <w:pStyle w:val="Default"/>
              <w:jc w:val="both"/>
            </w:pPr>
            <w:r w:rsidRPr="00BB480E">
              <w:t xml:space="preserve">Значение показателя </w:t>
            </w:r>
          </w:p>
        </w:tc>
        <w:tc>
          <w:tcPr>
            <w:tcW w:w="1431" w:type="dxa"/>
          </w:tcPr>
          <w:p w:rsidR="00BB480E" w:rsidRPr="00BB480E" w:rsidRDefault="00BB480E" w:rsidP="00D27D2D">
            <w:pPr>
              <w:pStyle w:val="Default"/>
              <w:jc w:val="both"/>
            </w:pPr>
            <w:r w:rsidRPr="00BB480E">
              <w:t>Целевые значения</w:t>
            </w:r>
          </w:p>
        </w:tc>
        <w:tc>
          <w:tcPr>
            <w:tcW w:w="1860" w:type="dxa"/>
          </w:tcPr>
          <w:p w:rsidR="00BB480E" w:rsidRPr="00BB480E" w:rsidRDefault="00BB480E" w:rsidP="00D27D2D">
            <w:pPr>
              <w:pStyle w:val="Default"/>
              <w:jc w:val="both"/>
            </w:pPr>
            <w:r w:rsidRPr="00BB480E">
              <w:t>Данные показателя МО Нефтеюганск</w:t>
            </w:r>
          </w:p>
        </w:tc>
        <w:tc>
          <w:tcPr>
            <w:tcW w:w="723" w:type="dxa"/>
          </w:tcPr>
          <w:p w:rsidR="00BB480E" w:rsidRPr="00BB480E" w:rsidRDefault="00BB480E" w:rsidP="00D27D2D">
            <w:pPr>
              <w:pStyle w:val="Default"/>
              <w:jc w:val="both"/>
            </w:pPr>
            <w:r w:rsidRPr="00BB480E">
              <w:t>Количество баллов по показателю</w:t>
            </w:r>
          </w:p>
        </w:tc>
      </w:tr>
      <w:tr w:rsidR="00BB480E" w:rsidRPr="00BB480E" w:rsidTr="00BB480E">
        <w:tc>
          <w:tcPr>
            <w:tcW w:w="1817" w:type="dxa"/>
          </w:tcPr>
          <w:p w:rsidR="00BB480E" w:rsidRPr="00BB480E" w:rsidRDefault="00BB480E" w:rsidP="00D27D2D">
            <w:pPr>
              <w:pStyle w:val="Default"/>
              <w:jc w:val="both"/>
            </w:pPr>
            <w:r w:rsidRPr="00BB480E">
              <w:rPr>
                <w:lang w:val="en-US"/>
              </w:rPr>
              <w:t>Hi</w:t>
            </w:r>
            <w:r w:rsidRPr="00BB480E">
              <w:t xml:space="preserve"> (нарушения органа)</w:t>
            </w:r>
          </w:p>
        </w:tc>
        <w:tc>
          <w:tcPr>
            <w:tcW w:w="2472" w:type="dxa"/>
          </w:tcPr>
          <w:p w:rsidR="00BB480E" w:rsidRPr="00BB480E" w:rsidRDefault="00BB480E" w:rsidP="00D27D2D">
            <w:pPr>
              <w:pStyle w:val="Default"/>
              <w:jc w:val="both"/>
            </w:pPr>
            <w:r w:rsidRPr="00BB480E">
              <w:t>Количество нарушений антимонопольного законодательства</w:t>
            </w:r>
          </w:p>
        </w:tc>
        <w:tc>
          <w:tcPr>
            <w:tcW w:w="1609" w:type="dxa"/>
          </w:tcPr>
          <w:p w:rsidR="00BB480E" w:rsidRPr="00BB480E" w:rsidRDefault="00BB480E" w:rsidP="00D27D2D">
            <w:pPr>
              <w:pStyle w:val="Default"/>
              <w:jc w:val="both"/>
            </w:pPr>
            <w:r w:rsidRPr="00BB480E">
              <w:t>Шт.</w:t>
            </w:r>
          </w:p>
        </w:tc>
        <w:tc>
          <w:tcPr>
            <w:tcW w:w="1431" w:type="dxa"/>
          </w:tcPr>
          <w:p w:rsidR="00BB480E" w:rsidRPr="00BB480E" w:rsidRDefault="00BB480E" w:rsidP="00D27D2D">
            <w:pPr>
              <w:pStyle w:val="Default"/>
              <w:jc w:val="both"/>
            </w:pPr>
            <w:r>
              <w:t>0</w:t>
            </w:r>
          </w:p>
        </w:tc>
        <w:tc>
          <w:tcPr>
            <w:tcW w:w="1860" w:type="dxa"/>
          </w:tcPr>
          <w:p w:rsidR="00BB480E" w:rsidRPr="00BB480E" w:rsidRDefault="00BB480E" w:rsidP="00D27D2D">
            <w:pPr>
              <w:pStyle w:val="Default"/>
              <w:jc w:val="both"/>
            </w:pPr>
            <w:r>
              <w:t>3</w:t>
            </w:r>
          </w:p>
        </w:tc>
        <w:tc>
          <w:tcPr>
            <w:tcW w:w="723" w:type="dxa"/>
          </w:tcPr>
          <w:p w:rsidR="00BB480E" w:rsidRPr="00BB480E" w:rsidRDefault="00BB480E" w:rsidP="00D27D2D">
            <w:pPr>
              <w:pStyle w:val="Default"/>
              <w:jc w:val="both"/>
            </w:pPr>
            <w:r>
              <w:t>2</w:t>
            </w:r>
          </w:p>
        </w:tc>
      </w:tr>
      <w:tr w:rsidR="00CB4AA8" w:rsidRPr="00CB4AA8" w:rsidTr="00BB480E">
        <w:tc>
          <w:tcPr>
            <w:tcW w:w="1817" w:type="dxa"/>
          </w:tcPr>
          <w:p w:rsidR="00BB480E" w:rsidRPr="00CB4AA8" w:rsidRDefault="00BB480E" w:rsidP="00D27D2D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CB4AA8">
              <w:rPr>
                <w:color w:val="auto"/>
              </w:rPr>
              <w:t>ДНi</w:t>
            </w:r>
            <w:proofErr w:type="spellEnd"/>
            <w:r w:rsidRPr="00CB4AA8">
              <w:rPr>
                <w:color w:val="auto"/>
              </w:rPr>
              <w:t xml:space="preserve"> (динамика нарушения органа)</w:t>
            </w:r>
          </w:p>
        </w:tc>
        <w:tc>
          <w:tcPr>
            <w:tcW w:w="2472" w:type="dxa"/>
          </w:tcPr>
          <w:p w:rsidR="00BB480E" w:rsidRPr="00CB4AA8" w:rsidRDefault="00BB480E" w:rsidP="00D27D2D">
            <w:pPr>
              <w:pStyle w:val="Default"/>
              <w:jc w:val="both"/>
              <w:rPr>
                <w:color w:val="auto"/>
              </w:rPr>
            </w:pPr>
            <w:r w:rsidRPr="00CB4AA8">
              <w:rPr>
                <w:color w:val="auto"/>
              </w:rPr>
              <w:t>Динамика нарушений антимонопольного законодательства</w:t>
            </w:r>
          </w:p>
        </w:tc>
        <w:tc>
          <w:tcPr>
            <w:tcW w:w="1609" w:type="dxa"/>
          </w:tcPr>
          <w:p w:rsidR="00BB480E" w:rsidRPr="00CB4AA8" w:rsidRDefault="00BB480E" w:rsidP="00D27D2D">
            <w:pPr>
              <w:pStyle w:val="Default"/>
              <w:jc w:val="both"/>
              <w:rPr>
                <w:color w:val="auto"/>
              </w:rPr>
            </w:pPr>
            <w:r w:rsidRPr="00CB4AA8">
              <w:rPr>
                <w:color w:val="auto"/>
              </w:rPr>
              <w:t>%</w:t>
            </w:r>
          </w:p>
        </w:tc>
        <w:tc>
          <w:tcPr>
            <w:tcW w:w="1431" w:type="dxa"/>
          </w:tcPr>
          <w:p w:rsidR="00BB480E" w:rsidRPr="00CB4AA8" w:rsidRDefault="00BB480E" w:rsidP="00D27D2D">
            <w:pPr>
              <w:pStyle w:val="Default"/>
              <w:jc w:val="both"/>
              <w:rPr>
                <w:color w:val="auto"/>
              </w:rPr>
            </w:pPr>
            <w:r w:rsidRPr="00CB4AA8">
              <w:rPr>
                <w:color w:val="auto"/>
              </w:rPr>
              <w:t>70</w:t>
            </w:r>
          </w:p>
        </w:tc>
        <w:tc>
          <w:tcPr>
            <w:tcW w:w="1860" w:type="dxa"/>
          </w:tcPr>
          <w:p w:rsidR="00BB480E" w:rsidRPr="00CB4AA8" w:rsidRDefault="00BB480E" w:rsidP="00D27D2D">
            <w:pPr>
              <w:pStyle w:val="Default"/>
              <w:jc w:val="both"/>
              <w:rPr>
                <w:color w:val="auto"/>
              </w:rPr>
            </w:pPr>
            <w:r w:rsidRPr="00CB4AA8">
              <w:rPr>
                <w:color w:val="auto"/>
              </w:rPr>
              <w:t>300</w:t>
            </w:r>
          </w:p>
        </w:tc>
        <w:tc>
          <w:tcPr>
            <w:tcW w:w="723" w:type="dxa"/>
          </w:tcPr>
          <w:p w:rsidR="00BB480E" w:rsidRPr="00CB4AA8" w:rsidRDefault="00BB480E" w:rsidP="00D27D2D">
            <w:pPr>
              <w:pStyle w:val="Default"/>
              <w:jc w:val="both"/>
              <w:rPr>
                <w:color w:val="auto"/>
              </w:rPr>
            </w:pPr>
            <w:r w:rsidRPr="00CB4AA8">
              <w:rPr>
                <w:color w:val="auto"/>
              </w:rPr>
              <w:t>10</w:t>
            </w:r>
          </w:p>
        </w:tc>
      </w:tr>
      <w:tr w:rsidR="00B34F02" w:rsidRPr="00B34F02" w:rsidTr="00BB480E">
        <w:tc>
          <w:tcPr>
            <w:tcW w:w="1817" w:type="dxa"/>
          </w:tcPr>
          <w:p w:rsidR="00BB480E" w:rsidRPr="00B34F02" w:rsidRDefault="00BB480E" w:rsidP="00D27D2D">
            <w:pPr>
              <w:pStyle w:val="Default"/>
              <w:jc w:val="both"/>
              <w:rPr>
                <w:color w:val="auto"/>
              </w:rPr>
            </w:pPr>
            <w:r w:rsidRPr="00B34F02">
              <w:rPr>
                <w:color w:val="auto"/>
              </w:rPr>
              <w:t>НПВ</w:t>
            </w:r>
            <w:proofErr w:type="spellStart"/>
            <w:r w:rsidRPr="00B34F02">
              <w:rPr>
                <w:color w:val="auto"/>
                <w:lang w:val="en-US"/>
              </w:rPr>
              <w:t>i</w:t>
            </w:r>
            <w:proofErr w:type="spellEnd"/>
            <w:r w:rsidRPr="00B34F02">
              <w:rPr>
                <w:color w:val="auto"/>
                <w:lang w:val="en-US"/>
              </w:rPr>
              <w:t xml:space="preserve"> (</w:t>
            </w:r>
            <w:r w:rsidRPr="00B34F02">
              <w:rPr>
                <w:color w:val="auto"/>
              </w:rPr>
              <w:t xml:space="preserve">нарушение порядка </w:t>
            </w:r>
            <w:proofErr w:type="spellStart"/>
            <w:r w:rsidRPr="00B34F02">
              <w:rPr>
                <w:color w:val="auto"/>
              </w:rPr>
              <w:t>взимодействия</w:t>
            </w:r>
            <w:proofErr w:type="spellEnd"/>
            <w:r w:rsidRPr="00B34F02">
              <w:rPr>
                <w:color w:val="auto"/>
              </w:rPr>
              <w:t>)</w:t>
            </w:r>
          </w:p>
        </w:tc>
        <w:tc>
          <w:tcPr>
            <w:tcW w:w="2472" w:type="dxa"/>
          </w:tcPr>
          <w:p w:rsidR="00BB480E" w:rsidRPr="00B34F02" w:rsidRDefault="00BB480E" w:rsidP="00D27D2D">
            <w:pPr>
              <w:pStyle w:val="Default"/>
              <w:jc w:val="both"/>
              <w:rPr>
                <w:color w:val="auto"/>
              </w:rPr>
            </w:pPr>
            <w:r w:rsidRPr="00781581">
              <w:rPr>
                <w:color w:val="auto"/>
              </w:rPr>
              <w:t>Количество случаев нарушения порядка взаимодействия</w:t>
            </w:r>
          </w:p>
        </w:tc>
        <w:tc>
          <w:tcPr>
            <w:tcW w:w="1609" w:type="dxa"/>
          </w:tcPr>
          <w:p w:rsidR="00BB480E" w:rsidRPr="00B34F02" w:rsidRDefault="00BB480E" w:rsidP="00D27D2D">
            <w:pPr>
              <w:pStyle w:val="Default"/>
              <w:jc w:val="both"/>
              <w:rPr>
                <w:color w:val="auto"/>
              </w:rPr>
            </w:pPr>
            <w:r w:rsidRPr="00B34F02">
              <w:rPr>
                <w:color w:val="auto"/>
              </w:rPr>
              <w:t>Шт.</w:t>
            </w:r>
          </w:p>
        </w:tc>
        <w:tc>
          <w:tcPr>
            <w:tcW w:w="1431" w:type="dxa"/>
          </w:tcPr>
          <w:p w:rsidR="00BB480E" w:rsidRPr="00B34F02" w:rsidRDefault="00BB480E" w:rsidP="00D27D2D">
            <w:pPr>
              <w:pStyle w:val="Default"/>
              <w:jc w:val="both"/>
              <w:rPr>
                <w:color w:val="auto"/>
              </w:rPr>
            </w:pPr>
            <w:r w:rsidRPr="00B34F02">
              <w:rPr>
                <w:color w:val="auto"/>
              </w:rPr>
              <w:t>0</w:t>
            </w:r>
          </w:p>
        </w:tc>
        <w:tc>
          <w:tcPr>
            <w:tcW w:w="1860" w:type="dxa"/>
          </w:tcPr>
          <w:p w:rsidR="00BB480E" w:rsidRPr="00B34F02" w:rsidRDefault="00BB480E" w:rsidP="00D27D2D">
            <w:pPr>
              <w:pStyle w:val="Default"/>
              <w:jc w:val="both"/>
              <w:rPr>
                <w:color w:val="auto"/>
              </w:rPr>
            </w:pPr>
            <w:r w:rsidRPr="00B34F02">
              <w:rPr>
                <w:color w:val="auto"/>
              </w:rPr>
              <w:t>0</w:t>
            </w:r>
          </w:p>
        </w:tc>
        <w:tc>
          <w:tcPr>
            <w:tcW w:w="723" w:type="dxa"/>
          </w:tcPr>
          <w:p w:rsidR="00BB480E" w:rsidRPr="00B34F02" w:rsidRDefault="00991DB1" w:rsidP="00D27D2D">
            <w:pPr>
              <w:pStyle w:val="Default"/>
              <w:jc w:val="both"/>
              <w:rPr>
                <w:color w:val="auto"/>
              </w:rPr>
            </w:pPr>
            <w:r w:rsidRPr="00991DB1">
              <w:rPr>
                <w:color w:val="auto"/>
              </w:rPr>
              <w:t>0</w:t>
            </w:r>
          </w:p>
        </w:tc>
      </w:tr>
      <w:tr w:rsidR="00B34F02" w:rsidRPr="00781581" w:rsidTr="00BB480E">
        <w:tc>
          <w:tcPr>
            <w:tcW w:w="1817" w:type="dxa"/>
          </w:tcPr>
          <w:p w:rsidR="00B34F02" w:rsidRPr="00781581" w:rsidRDefault="00B34F02" w:rsidP="00D27D2D">
            <w:pPr>
              <w:pStyle w:val="Default"/>
              <w:jc w:val="both"/>
            </w:pPr>
            <w:proofErr w:type="spellStart"/>
            <w:r w:rsidRPr="00781581">
              <w:t>Пi</w:t>
            </w:r>
            <w:proofErr w:type="spellEnd"/>
            <w:r w:rsidRPr="00781581">
              <w:t xml:space="preserve"> (Проекты органа)</w:t>
            </w:r>
          </w:p>
        </w:tc>
        <w:tc>
          <w:tcPr>
            <w:tcW w:w="2472" w:type="dxa"/>
          </w:tcPr>
          <w:p w:rsidR="00B34F02" w:rsidRPr="00781581" w:rsidRDefault="00B34F02" w:rsidP="00D27D2D">
            <w:pPr>
              <w:pStyle w:val="Default"/>
              <w:jc w:val="both"/>
            </w:pPr>
            <w:r w:rsidRPr="00781581">
              <w:t>Количество направленных проектов НПА в уполномоченный орган</w:t>
            </w:r>
          </w:p>
        </w:tc>
        <w:tc>
          <w:tcPr>
            <w:tcW w:w="1609" w:type="dxa"/>
          </w:tcPr>
          <w:p w:rsidR="00B34F02" w:rsidRPr="00781581" w:rsidRDefault="00B34F02" w:rsidP="00D27D2D">
            <w:pPr>
              <w:pStyle w:val="Default"/>
              <w:jc w:val="both"/>
            </w:pPr>
            <w:r w:rsidRPr="00781581">
              <w:t>Шт.</w:t>
            </w:r>
          </w:p>
        </w:tc>
        <w:tc>
          <w:tcPr>
            <w:tcW w:w="1431" w:type="dxa"/>
          </w:tcPr>
          <w:p w:rsidR="00B34F02" w:rsidRPr="00781581" w:rsidRDefault="00B34F02" w:rsidP="00D27D2D">
            <w:pPr>
              <w:pStyle w:val="Default"/>
              <w:jc w:val="both"/>
            </w:pPr>
            <w:r w:rsidRPr="00781581">
              <w:t>-</w:t>
            </w:r>
          </w:p>
        </w:tc>
        <w:tc>
          <w:tcPr>
            <w:tcW w:w="1860" w:type="dxa"/>
          </w:tcPr>
          <w:p w:rsidR="00B34F02" w:rsidRPr="00781581" w:rsidRDefault="00B34F02" w:rsidP="00D27D2D">
            <w:pPr>
              <w:pStyle w:val="Default"/>
              <w:jc w:val="both"/>
            </w:pPr>
            <w:r w:rsidRPr="00781581">
              <w:t>56</w:t>
            </w:r>
          </w:p>
        </w:tc>
        <w:tc>
          <w:tcPr>
            <w:tcW w:w="723" w:type="dxa"/>
          </w:tcPr>
          <w:p w:rsidR="00B34F02" w:rsidRPr="00781581" w:rsidRDefault="00B34F02" w:rsidP="00D27D2D">
            <w:pPr>
              <w:pStyle w:val="Default"/>
              <w:jc w:val="both"/>
            </w:pPr>
            <w:r w:rsidRPr="00781581">
              <w:t>-</w:t>
            </w:r>
          </w:p>
        </w:tc>
      </w:tr>
      <w:tr w:rsidR="00781581" w:rsidRPr="00781581" w:rsidTr="00BB480E">
        <w:tc>
          <w:tcPr>
            <w:tcW w:w="1817" w:type="dxa"/>
          </w:tcPr>
          <w:p w:rsidR="00B34F02" w:rsidRPr="00781581" w:rsidRDefault="00B34F02" w:rsidP="00D27D2D">
            <w:pPr>
              <w:pStyle w:val="Default"/>
              <w:jc w:val="both"/>
            </w:pPr>
            <w:proofErr w:type="spellStart"/>
            <w:r w:rsidRPr="00781581">
              <w:t>ДЗРi</w:t>
            </w:r>
            <w:proofErr w:type="spellEnd"/>
            <w:r w:rsidRPr="00781581">
              <w:t xml:space="preserve"> (доля заключений о рисках)</w:t>
            </w:r>
          </w:p>
        </w:tc>
        <w:tc>
          <w:tcPr>
            <w:tcW w:w="2472" w:type="dxa"/>
          </w:tcPr>
          <w:p w:rsidR="00B34F02" w:rsidRPr="00781581" w:rsidRDefault="00B34F02" w:rsidP="00D27D2D">
            <w:pPr>
              <w:pStyle w:val="Default"/>
              <w:jc w:val="both"/>
            </w:pPr>
            <w:r w:rsidRPr="00781581">
              <w:t>Доля заключений о рисках уполномоченного органа на проекты НПА</w:t>
            </w:r>
          </w:p>
        </w:tc>
        <w:tc>
          <w:tcPr>
            <w:tcW w:w="1609" w:type="dxa"/>
          </w:tcPr>
          <w:p w:rsidR="00B34F02" w:rsidRPr="00781581" w:rsidRDefault="00B34F02" w:rsidP="00D27D2D">
            <w:pPr>
              <w:pStyle w:val="Default"/>
              <w:jc w:val="both"/>
            </w:pPr>
            <w:r w:rsidRPr="00781581">
              <w:t>%</w:t>
            </w:r>
          </w:p>
        </w:tc>
        <w:tc>
          <w:tcPr>
            <w:tcW w:w="1431" w:type="dxa"/>
          </w:tcPr>
          <w:p w:rsidR="00B34F02" w:rsidRPr="00781581" w:rsidRDefault="00B34F02" w:rsidP="00D27D2D">
            <w:pPr>
              <w:pStyle w:val="Default"/>
              <w:jc w:val="both"/>
            </w:pPr>
            <w:r w:rsidRPr="00781581">
              <w:t>0</w:t>
            </w:r>
          </w:p>
        </w:tc>
        <w:tc>
          <w:tcPr>
            <w:tcW w:w="1860" w:type="dxa"/>
          </w:tcPr>
          <w:p w:rsidR="00B34F02" w:rsidRPr="00781581" w:rsidRDefault="00B34F02" w:rsidP="00D27D2D">
            <w:pPr>
              <w:pStyle w:val="Default"/>
              <w:jc w:val="both"/>
            </w:pPr>
            <w:r w:rsidRPr="00781581">
              <w:t>3,5</w:t>
            </w:r>
          </w:p>
        </w:tc>
        <w:tc>
          <w:tcPr>
            <w:tcW w:w="723" w:type="dxa"/>
          </w:tcPr>
          <w:p w:rsidR="00B34F02" w:rsidRPr="00781581" w:rsidRDefault="00B34F02" w:rsidP="00D27D2D">
            <w:pPr>
              <w:pStyle w:val="Default"/>
              <w:jc w:val="both"/>
            </w:pPr>
            <w:r w:rsidRPr="00781581">
              <w:t>1</w:t>
            </w:r>
          </w:p>
        </w:tc>
      </w:tr>
      <w:tr w:rsidR="00B6725F" w:rsidRPr="00781581" w:rsidTr="00BB480E">
        <w:tc>
          <w:tcPr>
            <w:tcW w:w="1817" w:type="dxa"/>
          </w:tcPr>
          <w:p w:rsidR="00B6725F" w:rsidRPr="00781581" w:rsidRDefault="00B6725F" w:rsidP="00D27D2D">
            <w:pPr>
              <w:pStyle w:val="Default"/>
              <w:jc w:val="both"/>
            </w:pPr>
            <w:r>
              <w:t>ИТОГО:</w:t>
            </w:r>
          </w:p>
        </w:tc>
        <w:tc>
          <w:tcPr>
            <w:tcW w:w="2472" w:type="dxa"/>
          </w:tcPr>
          <w:p w:rsidR="00B6725F" w:rsidRPr="00781581" w:rsidRDefault="00B40CDD" w:rsidP="00D27D2D">
            <w:pPr>
              <w:pStyle w:val="Default"/>
              <w:jc w:val="both"/>
            </w:pPr>
            <w:r>
              <w:t>-</w:t>
            </w:r>
          </w:p>
        </w:tc>
        <w:tc>
          <w:tcPr>
            <w:tcW w:w="1609" w:type="dxa"/>
          </w:tcPr>
          <w:p w:rsidR="00B6725F" w:rsidRPr="00781581" w:rsidRDefault="00B40CDD" w:rsidP="00D27D2D">
            <w:pPr>
              <w:pStyle w:val="Default"/>
              <w:jc w:val="both"/>
            </w:pPr>
            <w:r>
              <w:t>-</w:t>
            </w:r>
          </w:p>
        </w:tc>
        <w:tc>
          <w:tcPr>
            <w:tcW w:w="1431" w:type="dxa"/>
          </w:tcPr>
          <w:p w:rsidR="00B6725F" w:rsidRPr="00781581" w:rsidRDefault="00B40CDD" w:rsidP="00D27D2D">
            <w:pPr>
              <w:pStyle w:val="Default"/>
              <w:jc w:val="both"/>
            </w:pPr>
            <w:r>
              <w:t>-</w:t>
            </w:r>
          </w:p>
        </w:tc>
        <w:tc>
          <w:tcPr>
            <w:tcW w:w="1860" w:type="dxa"/>
          </w:tcPr>
          <w:p w:rsidR="00B6725F" w:rsidRPr="00781581" w:rsidRDefault="00B40CDD" w:rsidP="00D27D2D">
            <w:pPr>
              <w:pStyle w:val="Default"/>
              <w:jc w:val="both"/>
            </w:pPr>
            <w:r>
              <w:t>-</w:t>
            </w:r>
          </w:p>
        </w:tc>
        <w:tc>
          <w:tcPr>
            <w:tcW w:w="723" w:type="dxa"/>
          </w:tcPr>
          <w:p w:rsidR="00B6725F" w:rsidRPr="00781581" w:rsidRDefault="00B6725F" w:rsidP="00D27D2D">
            <w:pPr>
              <w:pStyle w:val="Default"/>
              <w:jc w:val="both"/>
            </w:pPr>
            <w:r>
              <w:t>13</w:t>
            </w:r>
          </w:p>
        </w:tc>
      </w:tr>
    </w:tbl>
    <w:p w:rsidR="00AA26F7" w:rsidRDefault="00AA26F7" w:rsidP="00506BA8">
      <w:pPr>
        <w:pStyle w:val="Default"/>
        <w:ind w:firstLine="709"/>
        <w:jc w:val="both"/>
        <w:rPr>
          <w:sz w:val="28"/>
          <w:szCs w:val="28"/>
        </w:rPr>
      </w:pPr>
    </w:p>
    <w:p w:rsidR="00CF7671" w:rsidRDefault="00CF7671" w:rsidP="00506BA8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F7671" w:rsidSect="00A363A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42"/>
    <w:rsid w:val="000346A5"/>
    <w:rsid w:val="000717E8"/>
    <w:rsid w:val="000752FB"/>
    <w:rsid w:val="000E79DF"/>
    <w:rsid w:val="002940A8"/>
    <w:rsid w:val="002D6489"/>
    <w:rsid w:val="00321509"/>
    <w:rsid w:val="00341CD1"/>
    <w:rsid w:val="0035423B"/>
    <w:rsid w:val="00386FA2"/>
    <w:rsid w:val="003D4EA1"/>
    <w:rsid w:val="003E22FD"/>
    <w:rsid w:val="00502408"/>
    <w:rsid w:val="00506BA8"/>
    <w:rsid w:val="005A410A"/>
    <w:rsid w:val="006577F0"/>
    <w:rsid w:val="006E6B2F"/>
    <w:rsid w:val="00781581"/>
    <w:rsid w:val="007F1ABA"/>
    <w:rsid w:val="00841A8C"/>
    <w:rsid w:val="008802C4"/>
    <w:rsid w:val="00897742"/>
    <w:rsid w:val="008A3BCA"/>
    <w:rsid w:val="008B4563"/>
    <w:rsid w:val="008E7516"/>
    <w:rsid w:val="009675EA"/>
    <w:rsid w:val="009837D4"/>
    <w:rsid w:val="00990436"/>
    <w:rsid w:val="00991DB1"/>
    <w:rsid w:val="009C33D2"/>
    <w:rsid w:val="009D6FE8"/>
    <w:rsid w:val="00A363A6"/>
    <w:rsid w:val="00A3655F"/>
    <w:rsid w:val="00A4614D"/>
    <w:rsid w:val="00A61FEF"/>
    <w:rsid w:val="00A7392B"/>
    <w:rsid w:val="00A769AB"/>
    <w:rsid w:val="00AA26F7"/>
    <w:rsid w:val="00B34F02"/>
    <w:rsid w:val="00B40CDD"/>
    <w:rsid w:val="00B55A18"/>
    <w:rsid w:val="00B6725F"/>
    <w:rsid w:val="00BA67BA"/>
    <w:rsid w:val="00BB480E"/>
    <w:rsid w:val="00C937F9"/>
    <w:rsid w:val="00CB4AA8"/>
    <w:rsid w:val="00CF7671"/>
    <w:rsid w:val="00D27D2D"/>
    <w:rsid w:val="00DA5118"/>
    <w:rsid w:val="00E47DCA"/>
    <w:rsid w:val="00E75CCD"/>
    <w:rsid w:val="00E96784"/>
    <w:rsid w:val="00EA2F14"/>
    <w:rsid w:val="00F2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78D69-A446-4E19-83EE-245B5E47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D2D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27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BB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69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3907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neverdas</dc:creator>
  <cp:keywords/>
  <dc:description/>
  <cp:lastModifiedBy>neverdas</cp:lastModifiedBy>
  <cp:revision>49</cp:revision>
  <dcterms:created xsi:type="dcterms:W3CDTF">2021-01-18T10:54:00Z</dcterms:created>
  <dcterms:modified xsi:type="dcterms:W3CDTF">2021-02-17T12:14:00Z</dcterms:modified>
</cp:coreProperties>
</file>